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121" w:rsidRPr="00F13150" w:rsidRDefault="00AD6121" w:rsidP="00F13150">
      <w:pPr>
        <w:spacing w:after="0"/>
        <w:rPr>
          <w:rFonts w:ascii="Arial" w:hAnsi="Arial" w:cs="Arial"/>
          <w:b/>
          <w:sz w:val="20"/>
          <w:szCs w:val="20"/>
        </w:rPr>
      </w:pPr>
      <w:r>
        <w:rPr>
          <w:rFonts w:ascii="Arial" w:hAnsi="Arial" w:cs="Arial"/>
          <w:b/>
          <w:sz w:val="20"/>
          <w:szCs w:val="20"/>
        </w:rPr>
        <w:t xml:space="preserve">MEDIA RELEASE </w:t>
      </w:r>
      <w:bookmarkStart w:id="0" w:name="_GoBack"/>
      <w:bookmarkEnd w:id="0"/>
    </w:p>
    <w:p w:rsidR="00AD6121" w:rsidRDefault="00AD6121" w:rsidP="00F13150">
      <w:pPr>
        <w:widowControl w:val="0"/>
        <w:tabs>
          <w:tab w:val="left" w:pos="2520"/>
          <w:tab w:val="left" w:pos="5760"/>
        </w:tabs>
        <w:spacing w:after="0"/>
        <w:jc w:val="both"/>
        <w:rPr>
          <w:rFonts w:ascii="Arial" w:hAnsi="Arial" w:cs="Arial"/>
          <w:b/>
          <w:sz w:val="20"/>
          <w:szCs w:val="20"/>
        </w:rPr>
      </w:pPr>
    </w:p>
    <w:p w:rsidR="003D26FB" w:rsidRDefault="003D26FB" w:rsidP="009400B5">
      <w:pPr>
        <w:pStyle w:val="BasicParagraph"/>
        <w:jc w:val="center"/>
        <w:rPr>
          <w:rFonts w:ascii="Arial" w:hAnsi="Arial" w:cs="Arial"/>
          <w:b/>
          <w:color w:val="auto"/>
        </w:rPr>
      </w:pPr>
      <w:r>
        <w:rPr>
          <w:rFonts w:ascii="Arial" w:hAnsi="Arial" w:cs="Arial"/>
          <w:b/>
          <w:color w:val="auto"/>
        </w:rPr>
        <w:t xml:space="preserve">Australians pay an average $2,000 in super fees each year </w:t>
      </w:r>
    </w:p>
    <w:p w:rsidR="009400B5" w:rsidRPr="003D26FB" w:rsidRDefault="0025620C" w:rsidP="009400B5">
      <w:pPr>
        <w:pStyle w:val="BasicParagraph"/>
        <w:jc w:val="center"/>
        <w:rPr>
          <w:rFonts w:ascii="Arial" w:hAnsi="Arial" w:cs="Arial"/>
          <w:i/>
          <w:color w:val="auto"/>
          <w:sz w:val="22"/>
          <w:szCs w:val="22"/>
        </w:rPr>
      </w:pPr>
      <w:r w:rsidRPr="003D26FB">
        <w:rPr>
          <w:rFonts w:ascii="Arial" w:hAnsi="Arial" w:cs="Arial"/>
          <w:i/>
          <w:color w:val="auto"/>
          <w:sz w:val="22"/>
          <w:szCs w:val="22"/>
        </w:rPr>
        <w:t xml:space="preserve">Fees </w:t>
      </w:r>
      <w:r w:rsidR="003D26FB">
        <w:rPr>
          <w:rFonts w:ascii="Arial" w:hAnsi="Arial" w:cs="Arial"/>
          <w:i/>
          <w:color w:val="auto"/>
          <w:sz w:val="22"/>
          <w:szCs w:val="22"/>
        </w:rPr>
        <w:t xml:space="preserve">slash the value of retirement incomes </w:t>
      </w:r>
      <w:r w:rsidR="003D2E5F">
        <w:rPr>
          <w:rFonts w:ascii="Arial" w:hAnsi="Arial" w:cs="Arial"/>
          <w:i/>
          <w:color w:val="auto"/>
          <w:sz w:val="22"/>
          <w:szCs w:val="22"/>
        </w:rPr>
        <w:t>– up to 19%</w:t>
      </w:r>
      <w:r w:rsidR="00083EC3" w:rsidRPr="00863F96">
        <w:rPr>
          <w:rFonts w:ascii="Arial" w:hAnsi="Arial" w:cs="Arial"/>
          <w:i/>
          <w:color w:val="auto"/>
          <w:sz w:val="22"/>
          <w:szCs w:val="22"/>
          <w:vertAlign w:val="superscript"/>
        </w:rPr>
        <w:t>1</w:t>
      </w:r>
    </w:p>
    <w:p w:rsidR="00B61822" w:rsidRPr="002F3A0E" w:rsidRDefault="00B61822" w:rsidP="002F3A0E">
      <w:pPr>
        <w:pStyle w:val="BasicParagraph"/>
        <w:rPr>
          <w:rFonts w:ascii="Arial" w:hAnsi="Arial" w:cs="Arial"/>
          <w:color w:val="auto"/>
          <w:sz w:val="20"/>
          <w:szCs w:val="20"/>
        </w:rPr>
      </w:pPr>
    </w:p>
    <w:p w:rsidR="00095D35" w:rsidRDefault="00B61822" w:rsidP="00B61822">
      <w:pPr>
        <w:pStyle w:val="BasicParagraph"/>
        <w:rPr>
          <w:rFonts w:ascii="Arial" w:hAnsi="Arial" w:cs="Arial"/>
          <w:color w:val="auto"/>
          <w:sz w:val="20"/>
          <w:szCs w:val="20"/>
        </w:rPr>
      </w:pPr>
      <w:r w:rsidRPr="000F77DF">
        <w:rPr>
          <w:rFonts w:ascii="Arial" w:hAnsi="Arial" w:cs="Arial"/>
          <w:b/>
          <w:bCs/>
          <w:i/>
          <w:iCs/>
          <w:color w:val="auto"/>
          <w:sz w:val="20"/>
          <w:szCs w:val="20"/>
        </w:rPr>
        <w:t>Wednesday, 20 February 2013</w:t>
      </w:r>
      <w:r w:rsidR="002F3A0E" w:rsidRPr="000F77DF">
        <w:rPr>
          <w:rFonts w:ascii="Arial" w:hAnsi="Arial" w:cs="Arial"/>
          <w:b/>
          <w:bCs/>
          <w:i/>
          <w:iCs/>
          <w:color w:val="auto"/>
          <w:sz w:val="20"/>
          <w:szCs w:val="20"/>
        </w:rPr>
        <w:t>:</w:t>
      </w:r>
      <w:r w:rsidRPr="000F77DF">
        <w:rPr>
          <w:rFonts w:ascii="Arial" w:hAnsi="Arial" w:cs="Arial"/>
          <w:color w:val="auto"/>
          <w:sz w:val="20"/>
          <w:szCs w:val="20"/>
        </w:rPr>
        <w:t xml:space="preserve"> </w:t>
      </w:r>
      <w:r w:rsidR="00095D35">
        <w:rPr>
          <w:rFonts w:ascii="Arial" w:hAnsi="Arial" w:cs="Arial"/>
          <w:color w:val="auto"/>
          <w:sz w:val="20"/>
          <w:szCs w:val="20"/>
        </w:rPr>
        <w:t>Australians are paying an average of $2,000 on superannuation fees each year, with older Australians paying as much as $6,000, according to</w:t>
      </w:r>
      <w:r w:rsidR="00E85642">
        <w:rPr>
          <w:rFonts w:ascii="Arial" w:hAnsi="Arial" w:cs="Arial"/>
          <w:color w:val="auto"/>
          <w:sz w:val="20"/>
          <w:szCs w:val="20"/>
        </w:rPr>
        <w:t xml:space="preserve"> new research. </w:t>
      </w:r>
      <w:r w:rsidR="003D26FB">
        <w:rPr>
          <w:rFonts w:ascii="Arial" w:hAnsi="Arial" w:cs="Arial"/>
          <w:color w:val="auto"/>
          <w:sz w:val="20"/>
          <w:szCs w:val="20"/>
        </w:rPr>
        <w:t>To highlight this</w:t>
      </w:r>
      <w:r w:rsidR="009400B5">
        <w:rPr>
          <w:rFonts w:ascii="Arial" w:hAnsi="Arial" w:cs="Arial"/>
          <w:color w:val="auto"/>
          <w:sz w:val="20"/>
          <w:szCs w:val="20"/>
        </w:rPr>
        <w:t xml:space="preserve">, </w:t>
      </w:r>
      <w:r w:rsidR="00605BD3">
        <w:rPr>
          <w:rFonts w:ascii="Arial" w:hAnsi="Arial" w:cs="Arial"/>
          <w:color w:val="auto"/>
          <w:sz w:val="20"/>
          <w:szCs w:val="20"/>
        </w:rPr>
        <w:t xml:space="preserve">ING DIRECT </w:t>
      </w:r>
      <w:r w:rsidR="0025620C">
        <w:rPr>
          <w:rFonts w:ascii="Arial" w:hAnsi="Arial" w:cs="Arial"/>
          <w:color w:val="auto"/>
          <w:sz w:val="20"/>
          <w:szCs w:val="20"/>
        </w:rPr>
        <w:t xml:space="preserve">has </w:t>
      </w:r>
      <w:r w:rsidR="00095D35">
        <w:rPr>
          <w:rFonts w:ascii="Arial" w:hAnsi="Arial" w:cs="Arial"/>
          <w:color w:val="auto"/>
          <w:sz w:val="20"/>
          <w:szCs w:val="20"/>
        </w:rPr>
        <w:t xml:space="preserve">created a giant human billboard forming </w:t>
      </w:r>
      <w:r w:rsidR="001F6EE0">
        <w:rPr>
          <w:rFonts w:ascii="Arial" w:hAnsi="Arial" w:cs="Arial"/>
          <w:color w:val="auto"/>
          <w:sz w:val="20"/>
          <w:szCs w:val="20"/>
        </w:rPr>
        <w:t xml:space="preserve">the </w:t>
      </w:r>
      <w:r w:rsidR="00095D35">
        <w:rPr>
          <w:rFonts w:ascii="Arial" w:hAnsi="Arial" w:cs="Arial"/>
          <w:color w:val="auto"/>
          <w:sz w:val="20"/>
          <w:szCs w:val="20"/>
        </w:rPr>
        <w:t xml:space="preserve">$20 billion </w:t>
      </w:r>
      <w:r w:rsidR="001F6EE0">
        <w:rPr>
          <w:rFonts w:ascii="Arial" w:hAnsi="Arial" w:cs="Arial"/>
          <w:color w:val="auto"/>
          <w:sz w:val="20"/>
          <w:szCs w:val="20"/>
        </w:rPr>
        <w:t xml:space="preserve">total </w:t>
      </w:r>
      <w:r w:rsidR="00095D35">
        <w:rPr>
          <w:rFonts w:ascii="Arial" w:hAnsi="Arial" w:cs="Arial"/>
          <w:color w:val="auto"/>
          <w:sz w:val="20"/>
          <w:szCs w:val="20"/>
        </w:rPr>
        <w:t xml:space="preserve">paid in 2012. </w:t>
      </w:r>
    </w:p>
    <w:p w:rsidR="00095D35" w:rsidRDefault="00095D35" w:rsidP="00B61822">
      <w:pPr>
        <w:pStyle w:val="BasicParagraph"/>
        <w:rPr>
          <w:rFonts w:ascii="Arial" w:hAnsi="Arial" w:cs="Arial"/>
          <w:color w:val="auto"/>
          <w:sz w:val="20"/>
          <w:szCs w:val="20"/>
        </w:rPr>
      </w:pPr>
    </w:p>
    <w:p w:rsidR="001F6EE0" w:rsidRDefault="00605BD3" w:rsidP="002F3A0E">
      <w:pPr>
        <w:pStyle w:val="BasicParagraph"/>
        <w:rPr>
          <w:rFonts w:ascii="Arial" w:hAnsi="Arial" w:cs="Arial"/>
          <w:color w:val="auto"/>
          <w:sz w:val="20"/>
          <w:szCs w:val="20"/>
        </w:rPr>
      </w:pPr>
      <w:r w:rsidRPr="00095D35">
        <w:rPr>
          <w:rFonts w:ascii="Arial" w:hAnsi="Arial" w:cs="Arial"/>
          <w:color w:val="auto"/>
          <w:sz w:val="20"/>
          <w:szCs w:val="20"/>
        </w:rPr>
        <w:t>ING DIRECT’s Head of Superannuat</w:t>
      </w:r>
      <w:r>
        <w:rPr>
          <w:rFonts w:ascii="Arial" w:hAnsi="Arial" w:cs="Arial"/>
          <w:color w:val="auto"/>
          <w:sz w:val="20"/>
          <w:szCs w:val="20"/>
        </w:rPr>
        <w:t>ion, Michael Christofides said,</w:t>
      </w:r>
      <w:r w:rsidR="00095D35" w:rsidRPr="00095D35">
        <w:rPr>
          <w:rFonts w:ascii="Arial" w:hAnsi="Arial" w:cs="Arial"/>
          <w:color w:val="auto"/>
          <w:sz w:val="20"/>
          <w:szCs w:val="20"/>
        </w:rPr>
        <w:t xml:space="preserve"> “</w:t>
      </w:r>
      <w:r w:rsidR="0052131D">
        <w:rPr>
          <w:rFonts w:ascii="Arial" w:hAnsi="Arial" w:cs="Arial"/>
          <w:color w:val="auto"/>
          <w:sz w:val="20"/>
          <w:szCs w:val="20"/>
        </w:rPr>
        <w:t xml:space="preserve">Too many </w:t>
      </w:r>
      <w:r w:rsidR="00095D35" w:rsidRPr="00095D35">
        <w:rPr>
          <w:rFonts w:ascii="Arial" w:hAnsi="Arial" w:cs="Arial"/>
          <w:color w:val="auto"/>
          <w:sz w:val="20"/>
          <w:szCs w:val="20"/>
        </w:rPr>
        <w:t>Australians are getting ripped off when it comes to the fees they’re paying on superannuation.</w:t>
      </w:r>
      <w:r w:rsidR="001F6EE0">
        <w:rPr>
          <w:rFonts w:ascii="Arial" w:hAnsi="Arial" w:cs="Arial"/>
          <w:color w:val="auto"/>
          <w:sz w:val="20"/>
          <w:szCs w:val="20"/>
        </w:rPr>
        <w:t xml:space="preserve"> </w:t>
      </w:r>
    </w:p>
    <w:p w:rsidR="001F6EE0" w:rsidRPr="008A04F7" w:rsidRDefault="001F6EE0" w:rsidP="002F3A0E">
      <w:pPr>
        <w:pStyle w:val="BasicParagraph"/>
        <w:rPr>
          <w:rFonts w:ascii="Arial" w:hAnsi="Arial" w:cs="Arial"/>
          <w:color w:val="auto"/>
          <w:sz w:val="20"/>
          <w:szCs w:val="20"/>
        </w:rPr>
      </w:pPr>
    </w:p>
    <w:p w:rsidR="00E10383" w:rsidRPr="008A04F7" w:rsidRDefault="008A04F7" w:rsidP="008A04F7">
      <w:pPr>
        <w:rPr>
          <w:rFonts w:ascii="Arial" w:eastAsia="Times New Roman" w:hAnsi="Arial" w:cs="Arial"/>
          <w:sz w:val="20"/>
          <w:szCs w:val="20"/>
        </w:rPr>
      </w:pPr>
      <w:r w:rsidRPr="00863F96">
        <w:rPr>
          <w:rFonts w:ascii="Arial" w:eastAsia="Times New Roman" w:hAnsi="Arial" w:cs="Arial"/>
          <w:color w:val="000000"/>
          <w:sz w:val="20"/>
          <w:szCs w:val="20"/>
        </w:rPr>
        <w:t xml:space="preserve">"Whether you're a member of a retail fund or an industry fund, </w:t>
      </w:r>
      <w:r w:rsidR="00C9767D">
        <w:rPr>
          <w:rFonts w:ascii="Arial" w:eastAsia="Times New Roman" w:hAnsi="Arial" w:cs="Arial"/>
          <w:color w:val="000000"/>
          <w:sz w:val="20"/>
          <w:szCs w:val="20"/>
        </w:rPr>
        <w:t xml:space="preserve">you could well be paying </w:t>
      </w:r>
      <w:r w:rsidRPr="00863F96">
        <w:rPr>
          <w:rFonts w:ascii="Arial" w:eastAsia="Times New Roman" w:hAnsi="Arial" w:cs="Arial"/>
          <w:color w:val="000000"/>
          <w:sz w:val="20"/>
          <w:szCs w:val="20"/>
        </w:rPr>
        <w:t>more than you think."</w:t>
      </w:r>
    </w:p>
    <w:tbl>
      <w:tblPr>
        <w:tblStyle w:val="LightList-Accent6"/>
        <w:tblW w:w="0" w:type="auto"/>
        <w:tblLook w:val="04A0" w:firstRow="1" w:lastRow="0" w:firstColumn="1" w:lastColumn="0" w:noHBand="0" w:noVBand="1"/>
      </w:tblPr>
      <w:tblGrid>
        <w:gridCol w:w="3080"/>
        <w:gridCol w:w="3081"/>
        <w:gridCol w:w="3081"/>
      </w:tblGrid>
      <w:tr w:rsidR="00E10383" w:rsidTr="009348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10383" w:rsidRDefault="00E10383" w:rsidP="002F3A0E">
            <w:pPr>
              <w:pStyle w:val="BasicParagraph"/>
              <w:rPr>
                <w:rFonts w:ascii="Arial" w:hAnsi="Arial" w:cs="Arial"/>
                <w:color w:val="auto"/>
                <w:sz w:val="20"/>
                <w:szCs w:val="20"/>
              </w:rPr>
            </w:pPr>
            <w:r>
              <w:rPr>
                <w:rFonts w:ascii="Arial" w:hAnsi="Arial" w:cs="Arial"/>
                <w:color w:val="auto"/>
                <w:sz w:val="20"/>
                <w:szCs w:val="20"/>
              </w:rPr>
              <w:t>Age</w:t>
            </w:r>
          </w:p>
        </w:tc>
        <w:tc>
          <w:tcPr>
            <w:tcW w:w="3081" w:type="dxa"/>
          </w:tcPr>
          <w:p w:rsidR="00E10383" w:rsidRDefault="00E10383" w:rsidP="002F3A0E">
            <w:pPr>
              <w:pStyle w:val="BasicParagrap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Average Super balance</w:t>
            </w:r>
          </w:p>
        </w:tc>
        <w:tc>
          <w:tcPr>
            <w:tcW w:w="3081" w:type="dxa"/>
          </w:tcPr>
          <w:p w:rsidR="00E10383" w:rsidRDefault="00E10383" w:rsidP="002F3A0E">
            <w:pPr>
              <w:pStyle w:val="BasicParagrap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Average annual fee</w:t>
            </w:r>
          </w:p>
        </w:tc>
      </w:tr>
      <w:tr w:rsidR="00E10383" w:rsidTr="00934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10383" w:rsidRDefault="00E10383" w:rsidP="002F3A0E">
            <w:pPr>
              <w:pStyle w:val="BasicParagraph"/>
              <w:rPr>
                <w:rFonts w:ascii="Arial" w:hAnsi="Arial" w:cs="Arial"/>
                <w:color w:val="auto"/>
                <w:sz w:val="20"/>
                <w:szCs w:val="20"/>
              </w:rPr>
            </w:pPr>
            <w:r>
              <w:rPr>
                <w:rFonts w:ascii="Arial" w:hAnsi="Arial" w:cs="Arial"/>
                <w:color w:val="auto"/>
                <w:sz w:val="20"/>
                <w:szCs w:val="20"/>
              </w:rPr>
              <w:t>Under 35</w:t>
            </w:r>
          </w:p>
        </w:tc>
        <w:tc>
          <w:tcPr>
            <w:tcW w:w="3081" w:type="dxa"/>
          </w:tcPr>
          <w:p w:rsidR="00E10383" w:rsidRDefault="00E10383" w:rsidP="002F3A0E">
            <w:pPr>
              <w:pStyle w:val="Basic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$30,5</w:t>
            </w:r>
            <w:r w:rsidR="00934874">
              <w:rPr>
                <w:rFonts w:ascii="Arial" w:hAnsi="Arial" w:cs="Arial"/>
                <w:color w:val="auto"/>
                <w:sz w:val="20"/>
                <w:szCs w:val="20"/>
              </w:rPr>
              <w:t>12</w:t>
            </w:r>
          </w:p>
        </w:tc>
        <w:tc>
          <w:tcPr>
            <w:tcW w:w="3081" w:type="dxa"/>
          </w:tcPr>
          <w:p w:rsidR="00E10383" w:rsidRDefault="00E10383" w:rsidP="002F3A0E">
            <w:pPr>
              <w:pStyle w:val="Basic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$4</w:t>
            </w:r>
            <w:r w:rsidR="00934874">
              <w:rPr>
                <w:rFonts w:ascii="Arial" w:hAnsi="Arial" w:cs="Arial"/>
                <w:color w:val="auto"/>
                <w:sz w:val="20"/>
                <w:szCs w:val="20"/>
              </w:rPr>
              <w:t>45</w:t>
            </w:r>
          </w:p>
        </w:tc>
      </w:tr>
      <w:tr w:rsidR="00E10383" w:rsidTr="00934874">
        <w:tc>
          <w:tcPr>
            <w:cnfStyle w:val="001000000000" w:firstRow="0" w:lastRow="0" w:firstColumn="1" w:lastColumn="0" w:oddVBand="0" w:evenVBand="0" w:oddHBand="0" w:evenHBand="0" w:firstRowFirstColumn="0" w:firstRowLastColumn="0" w:lastRowFirstColumn="0" w:lastRowLastColumn="0"/>
            <w:tcW w:w="3080" w:type="dxa"/>
          </w:tcPr>
          <w:p w:rsidR="00E10383" w:rsidRDefault="00E10383" w:rsidP="002F3A0E">
            <w:pPr>
              <w:pStyle w:val="BasicParagraph"/>
              <w:rPr>
                <w:rFonts w:ascii="Arial" w:hAnsi="Arial" w:cs="Arial"/>
                <w:color w:val="auto"/>
                <w:sz w:val="20"/>
                <w:szCs w:val="20"/>
              </w:rPr>
            </w:pPr>
            <w:r>
              <w:rPr>
                <w:rFonts w:ascii="Arial" w:hAnsi="Arial" w:cs="Arial"/>
                <w:color w:val="auto"/>
                <w:sz w:val="20"/>
                <w:szCs w:val="20"/>
              </w:rPr>
              <w:t>35-49</w:t>
            </w:r>
          </w:p>
        </w:tc>
        <w:tc>
          <w:tcPr>
            <w:tcW w:w="3081" w:type="dxa"/>
          </w:tcPr>
          <w:p w:rsidR="00E10383" w:rsidRDefault="00E10383" w:rsidP="002F3A0E">
            <w:pPr>
              <w:pStyle w:val="Basic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$93,</w:t>
            </w:r>
            <w:r w:rsidR="00934874">
              <w:rPr>
                <w:rFonts w:ascii="Arial" w:hAnsi="Arial" w:cs="Arial"/>
                <w:color w:val="auto"/>
                <w:sz w:val="20"/>
                <w:szCs w:val="20"/>
              </w:rPr>
              <w:t>073</w:t>
            </w:r>
          </w:p>
        </w:tc>
        <w:tc>
          <w:tcPr>
            <w:tcW w:w="3081" w:type="dxa"/>
          </w:tcPr>
          <w:p w:rsidR="00E10383" w:rsidRDefault="00E10383" w:rsidP="002F3A0E">
            <w:pPr>
              <w:pStyle w:val="Basic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$1,2</w:t>
            </w:r>
            <w:r w:rsidR="00934874">
              <w:rPr>
                <w:rFonts w:ascii="Arial" w:hAnsi="Arial" w:cs="Arial"/>
                <w:color w:val="auto"/>
                <w:sz w:val="20"/>
                <w:szCs w:val="20"/>
              </w:rPr>
              <w:t>39</w:t>
            </w:r>
          </w:p>
        </w:tc>
      </w:tr>
      <w:tr w:rsidR="00E10383" w:rsidTr="00934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10383" w:rsidRDefault="00E10383" w:rsidP="002F3A0E">
            <w:pPr>
              <w:pStyle w:val="BasicParagraph"/>
              <w:rPr>
                <w:rFonts w:ascii="Arial" w:hAnsi="Arial" w:cs="Arial"/>
                <w:color w:val="auto"/>
                <w:sz w:val="20"/>
                <w:szCs w:val="20"/>
              </w:rPr>
            </w:pPr>
            <w:r>
              <w:rPr>
                <w:rFonts w:ascii="Arial" w:hAnsi="Arial" w:cs="Arial"/>
                <w:color w:val="auto"/>
                <w:sz w:val="20"/>
                <w:szCs w:val="20"/>
              </w:rPr>
              <w:t>50-59</w:t>
            </w:r>
          </w:p>
        </w:tc>
        <w:tc>
          <w:tcPr>
            <w:tcW w:w="3081" w:type="dxa"/>
          </w:tcPr>
          <w:p w:rsidR="00E10383" w:rsidRDefault="00E10383" w:rsidP="002F3A0E">
            <w:pPr>
              <w:pStyle w:val="Basic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$252,</w:t>
            </w:r>
            <w:r w:rsidR="00934874">
              <w:rPr>
                <w:rFonts w:ascii="Arial" w:hAnsi="Arial" w:cs="Arial"/>
                <w:color w:val="auto"/>
                <w:sz w:val="20"/>
                <w:szCs w:val="20"/>
              </w:rPr>
              <w:t>349</w:t>
            </w:r>
          </w:p>
        </w:tc>
        <w:tc>
          <w:tcPr>
            <w:tcW w:w="3081" w:type="dxa"/>
          </w:tcPr>
          <w:p w:rsidR="00E10383" w:rsidRDefault="00E10383" w:rsidP="002F3A0E">
            <w:pPr>
              <w:pStyle w:val="Basic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$3,</w:t>
            </w:r>
            <w:r w:rsidR="00934874">
              <w:rPr>
                <w:rFonts w:ascii="Arial" w:hAnsi="Arial" w:cs="Arial"/>
                <w:color w:val="auto"/>
                <w:sz w:val="20"/>
                <w:szCs w:val="20"/>
              </w:rPr>
              <w:t>262</w:t>
            </w:r>
          </w:p>
        </w:tc>
      </w:tr>
      <w:tr w:rsidR="00E10383" w:rsidTr="00934874">
        <w:tc>
          <w:tcPr>
            <w:cnfStyle w:val="001000000000" w:firstRow="0" w:lastRow="0" w:firstColumn="1" w:lastColumn="0" w:oddVBand="0" w:evenVBand="0" w:oddHBand="0" w:evenHBand="0" w:firstRowFirstColumn="0" w:firstRowLastColumn="0" w:lastRowFirstColumn="0" w:lastRowLastColumn="0"/>
            <w:tcW w:w="3080" w:type="dxa"/>
          </w:tcPr>
          <w:p w:rsidR="00E10383" w:rsidRDefault="00E10383" w:rsidP="002F3A0E">
            <w:pPr>
              <w:pStyle w:val="BasicParagraph"/>
              <w:rPr>
                <w:rFonts w:ascii="Arial" w:hAnsi="Arial" w:cs="Arial"/>
                <w:color w:val="auto"/>
                <w:sz w:val="20"/>
                <w:szCs w:val="20"/>
              </w:rPr>
            </w:pPr>
            <w:r>
              <w:rPr>
                <w:rFonts w:ascii="Arial" w:hAnsi="Arial" w:cs="Arial"/>
                <w:color w:val="auto"/>
                <w:sz w:val="20"/>
                <w:szCs w:val="20"/>
              </w:rPr>
              <w:t>60-65</w:t>
            </w:r>
          </w:p>
        </w:tc>
        <w:tc>
          <w:tcPr>
            <w:tcW w:w="3081" w:type="dxa"/>
          </w:tcPr>
          <w:p w:rsidR="00E10383" w:rsidRDefault="00E10383" w:rsidP="002F3A0E">
            <w:pPr>
              <w:pStyle w:val="Basic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$285,4</w:t>
            </w:r>
            <w:r w:rsidR="00934874">
              <w:rPr>
                <w:rFonts w:ascii="Arial" w:hAnsi="Arial" w:cs="Arial"/>
                <w:color w:val="auto"/>
                <w:sz w:val="20"/>
                <w:szCs w:val="20"/>
              </w:rPr>
              <w:t>22</w:t>
            </w:r>
          </w:p>
        </w:tc>
        <w:tc>
          <w:tcPr>
            <w:tcW w:w="3081" w:type="dxa"/>
          </w:tcPr>
          <w:p w:rsidR="00E10383" w:rsidRDefault="00E10383" w:rsidP="002F3A0E">
            <w:pPr>
              <w:pStyle w:val="Basic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$3,</w:t>
            </w:r>
            <w:r w:rsidR="00934874">
              <w:rPr>
                <w:rFonts w:ascii="Arial" w:hAnsi="Arial" w:cs="Arial"/>
                <w:color w:val="auto"/>
                <w:sz w:val="20"/>
                <w:szCs w:val="20"/>
              </w:rPr>
              <w:t>682</w:t>
            </w:r>
          </w:p>
        </w:tc>
      </w:tr>
      <w:tr w:rsidR="00E10383" w:rsidTr="009348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E10383" w:rsidRDefault="00E10383" w:rsidP="002F3A0E">
            <w:pPr>
              <w:pStyle w:val="BasicParagraph"/>
              <w:rPr>
                <w:rFonts w:ascii="Arial" w:hAnsi="Arial" w:cs="Arial"/>
                <w:color w:val="auto"/>
                <w:sz w:val="20"/>
                <w:szCs w:val="20"/>
              </w:rPr>
            </w:pPr>
            <w:r>
              <w:rPr>
                <w:rFonts w:ascii="Arial" w:hAnsi="Arial" w:cs="Arial"/>
                <w:color w:val="auto"/>
                <w:sz w:val="20"/>
                <w:szCs w:val="20"/>
              </w:rPr>
              <w:t>65+</w:t>
            </w:r>
          </w:p>
        </w:tc>
        <w:tc>
          <w:tcPr>
            <w:tcW w:w="3081" w:type="dxa"/>
          </w:tcPr>
          <w:p w:rsidR="00E10383" w:rsidRDefault="005770C6" w:rsidP="002F3A0E">
            <w:pPr>
              <w:pStyle w:val="Basic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$478,</w:t>
            </w:r>
            <w:r w:rsidR="00934874">
              <w:rPr>
                <w:rFonts w:ascii="Arial" w:hAnsi="Arial" w:cs="Arial"/>
                <w:color w:val="auto"/>
                <w:sz w:val="20"/>
                <w:szCs w:val="20"/>
              </w:rPr>
              <w:t>160</w:t>
            </w:r>
          </w:p>
        </w:tc>
        <w:tc>
          <w:tcPr>
            <w:tcW w:w="3081" w:type="dxa"/>
          </w:tcPr>
          <w:p w:rsidR="00E10383" w:rsidRDefault="005770C6" w:rsidP="002F3A0E">
            <w:pPr>
              <w:pStyle w:val="Basic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$6,1</w:t>
            </w:r>
            <w:r w:rsidR="00934874">
              <w:rPr>
                <w:rFonts w:ascii="Arial" w:hAnsi="Arial" w:cs="Arial"/>
                <w:color w:val="auto"/>
                <w:sz w:val="20"/>
                <w:szCs w:val="20"/>
              </w:rPr>
              <w:t>30</w:t>
            </w:r>
          </w:p>
        </w:tc>
      </w:tr>
    </w:tbl>
    <w:p w:rsidR="00E10383" w:rsidRDefault="00E10383" w:rsidP="002F3A0E">
      <w:pPr>
        <w:pStyle w:val="BasicParagraph"/>
        <w:rPr>
          <w:rFonts w:ascii="Arial" w:hAnsi="Arial" w:cs="Arial"/>
          <w:color w:val="auto"/>
          <w:sz w:val="20"/>
          <w:szCs w:val="20"/>
        </w:rPr>
      </w:pPr>
    </w:p>
    <w:p w:rsidR="0025620C" w:rsidRDefault="00E85642" w:rsidP="00605BD3">
      <w:pPr>
        <w:pStyle w:val="BasicParagraph"/>
        <w:rPr>
          <w:rFonts w:ascii="Arial" w:hAnsi="Arial" w:cs="Arial"/>
          <w:color w:val="auto"/>
          <w:sz w:val="20"/>
          <w:szCs w:val="20"/>
        </w:rPr>
      </w:pPr>
      <w:r>
        <w:rPr>
          <w:rFonts w:ascii="Arial" w:hAnsi="Arial" w:cs="Arial"/>
          <w:color w:val="auto"/>
          <w:sz w:val="20"/>
          <w:szCs w:val="20"/>
        </w:rPr>
        <w:t xml:space="preserve">The </w:t>
      </w:r>
      <w:r w:rsidR="00605BD3">
        <w:rPr>
          <w:rFonts w:ascii="Arial" w:hAnsi="Arial" w:cs="Arial"/>
          <w:color w:val="auto"/>
          <w:sz w:val="20"/>
          <w:szCs w:val="20"/>
        </w:rPr>
        <w:t>research</w:t>
      </w:r>
      <w:r>
        <w:rPr>
          <w:rFonts w:ascii="Arial" w:hAnsi="Arial" w:cs="Arial"/>
          <w:color w:val="auto"/>
          <w:sz w:val="20"/>
          <w:szCs w:val="20"/>
        </w:rPr>
        <w:t xml:space="preserve"> by Rainmaker</w:t>
      </w:r>
      <w:r w:rsidR="0025620C">
        <w:rPr>
          <w:rFonts w:ascii="Arial" w:hAnsi="Arial" w:cs="Arial"/>
          <w:color w:val="auto"/>
          <w:sz w:val="20"/>
          <w:szCs w:val="20"/>
        </w:rPr>
        <w:t>, commissioned by ING DIRECT,</w:t>
      </w:r>
      <w:r w:rsidR="00605BD3">
        <w:rPr>
          <w:rFonts w:ascii="Arial" w:hAnsi="Arial" w:cs="Arial"/>
          <w:color w:val="auto"/>
          <w:sz w:val="20"/>
          <w:szCs w:val="20"/>
        </w:rPr>
        <w:t xml:space="preserve"> shows</w:t>
      </w:r>
      <w:r w:rsidR="0025620C">
        <w:rPr>
          <w:rFonts w:ascii="Arial" w:hAnsi="Arial" w:cs="Arial"/>
          <w:color w:val="auto"/>
          <w:sz w:val="20"/>
          <w:szCs w:val="20"/>
        </w:rPr>
        <w:t xml:space="preserve"> how much fees </w:t>
      </w:r>
      <w:r w:rsidR="009C3DC4">
        <w:rPr>
          <w:rFonts w:ascii="Arial" w:hAnsi="Arial" w:cs="Arial"/>
          <w:color w:val="auto"/>
          <w:sz w:val="20"/>
          <w:szCs w:val="20"/>
        </w:rPr>
        <w:t>are reducing retirement incomes, for example:</w:t>
      </w:r>
    </w:p>
    <w:p w:rsidR="0025620C" w:rsidRDefault="0025620C" w:rsidP="00605BD3">
      <w:pPr>
        <w:pStyle w:val="BasicParagraph"/>
        <w:rPr>
          <w:rFonts w:ascii="Arial" w:hAnsi="Arial" w:cs="Arial"/>
          <w:color w:val="auto"/>
          <w:sz w:val="20"/>
          <w:szCs w:val="20"/>
        </w:rPr>
      </w:pPr>
    </w:p>
    <w:p w:rsidR="009C3DC4" w:rsidRPr="009C3DC4" w:rsidRDefault="009C3DC4" w:rsidP="00605BD3">
      <w:pPr>
        <w:pStyle w:val="BasicParagraph"/>
        <w:rPr>
          <w:rFonts w:ascii="Arial" w:hAnsi="Arial" w:cs="Arial"/>
          <w:b/>
          <w:color w:val="auto"/>
          <w:sz w:val="20"/>
          <w:szCs w:val="20"/>
        </w:rPr>
      </w:pPr>
      <w:r w:rsidRPr="009C3DC4">
        <w:rPr>
          <w:rFonts w:ascii="Arial" w:hAnsi="Arial" w:cs="Arial"/>
          <w:b/>
          <w:color w:val="auto"/>
          <w:sz w:val="20"/>
          <w:szCs w:val="20"/>
        </w:rPr>
        <w:t>Impact of fees during working life:</w:t>
      </w:r>
    </w:p>
    <w:p w:rsidR="009C3DC4" w:rsidRDefault="009C3DC4" w:rsidP="00AF4E41">
      <w:pPr>
        <w:pStyle w:val="s12"/>
        <w:numPr>
          <w:ilvl w:val="0"/>
          <w:numId w:val="10"/>
        </w:numPr>
        <w:spacing w:before="0" w:beforeAutospacing="0" w:after="0" w:afterAutospacing="0"/>
        <w:rPr>
          <w:rStyle w:val="s14"/>
          <w:rFonts w:ascii="Arial" w:hAnsi="Arial" w:cs="Arial"/>
          <w:sz w:val="20"/>
          <w:szCs w:val="20"/>
        </w:rPr>
      </w:pPr>
      <w:r w:rsidRPr="009C3DC4">
        <w:rPr>
          <w:rStyle w:val="s14"/>
          <w:rFonts w:ascii="Arial" w:hAnsi="Arial" w:cs="Arial"/>
          <w:sz w:val="20"/>
          <w:szCs w:val="20"/>
        </w:rPr>
        <w:t>S</w:t>
      </w:r>
      <w:r w:rsidR="00AF4E41" w:rsidRPr="009C3DC4">
        <w:rPr>
          <w:rStyle w:val="s14"/>
          <w:rFonts w:ascii="Arial" w:hAnsi="Arial" w:cs="Arial"/>
          <w:sz w:val="20"/>
          <w:szCs w:val="20"/>
        </w:rPr>
        <w:t>omeone retiring at 67, who commenced work at 20, could pay as much as $174,000 in super fees depe</w:t>
      </w:r>
      <w:r w:rsidRPr="009C3DC4">
        <w:rPr>
          <w:rStyle w:val="s14"/>
          <w:rFonts w:ascii="Arial" w:hAnsi="Arial" w:cs="Arial"/>
          <w:sz w:val="20"/>
          <w:szCs w:val="20"/>
        </w:rPr>
        <w:t>nding on which fund they are in.</w:t>
      </w:r>
      <w:r w:rsidR="00AF4E41" w:rsidRPr="009C3DC4">
        <w:rPr>
          <w:rStyle w:val="s14"/>
          <w:rFonts w:ascii="Arial" w:hAnsi="Arial" w:cs="Arial"/>
          <w:sz w:val="20"/>
          <w:szCs w:val="20"/>
        </w:rPr>
        <w:t xml:space="preserve"> </w:t>
      </w:r>
      <w:r w:rsidR="004D0615" w:rsidRPr="00863F96">
        <w:rPr>
          <w:rStyle w:val="s14"/>
          <w:rFonts w:ascii="Arial" w:hAnsi="Arial" w:cs="Arial"/>
          <w:sz w:val="20"/>
          <w:szCs w:val="20"/>
          <w:vertAlign w:val="superscript"/>
        </w:rPr>
        <w:t>2</w:t>
      </w:r>
    </w:p>
    <w:p w:rsidR="009C3DC4" w:rsidRDefault="009C3DC4" w:rsidP="009C3DC4">
      <w:pPr>
        <w:pStyle w:val="s12"/>
        <w:spacing w:before="0" w:beforeAutospacing="0" w:after="0" w:afterAutospacing="0"/>
        <w:ind w:left="720"/>
        <w:rPr>
          <w:rFonts w:ascii="Arial" w:hAnsi="Arial" w:cs="Arial"/>
          <w:sz w:val="20"/>
          <w:szCs w:val="20"/>
        </w:rPr>
      </w:pPr>
    </w:p>
    <w:p w:rsidR="009C3DC4" w:rsidRPr="009C3DC4" w:rsidRDefault="009C3DC4" w:rsidP="009C3DC4">
      <w:pPr>
        <w:pStyle w:val="s12"/>
        <w:spacing w:before="0" w:beforeAutospacing="0" w:after="0" w:afterAutospacing="0"/>
        <w:rPr>
          <w:rFonts w:ascii="Arial" w:hAnsi="Arial" w:cs="Arial"/>
          <w:b/>
          <w:sz w:val="20"/>
          <w:szCs w:val="20"/>
        </w:rPr>
      </w:pPr>
      <w:r w:rsidRPr="009C3DC4">
        <w:rPr>
          <w:rFonts w:ascii="Arial" w:hAnsi="Arial" w:cs="Arial"/>
          <w:b/>
          <w:sz w:val="20"/>
          <w:szCs w:val="20"/>
        </w:rPr>
        <w:t>Impact of fees during retirement:</w:t>
      </w:r>
    </w:p>
    <w:p w:rsidR="009C3DC4" w:rsidRPr="00863F96" w:rsidRDefault="00934874" w:rsidP="00863F96">
      <w:pPr>
        <w:pStyle w:val="s12"/>
        <w:numPr>
          <w:ilvl w:val="0"/>
          <w:numId w:val="10"/>
        </w:numPr>
        <w:spacing w:before="0" w:beforeAutospacing="0" w:after="0" w:afterAutospacing="0"/>
        <w:rPr>
          <w:rStyle w:val="s14"/>
          <w:sz w:val="20"/>
          <w:szCs w:val="20"/>
        </w:rPr>
      </w:pPr>
      <w:r w:rsidRPr="00863F96">
        <w:rPr>
          <w:rStyle w:val="s14"/>
          <w:rFonts w:ascii="Arial" w:hAnsi="Arial" w:cs="Arial"/>
          <w:sz w:val="20"/>
          <w:szCs w:val="20"/>
        </w:rPr>
        <w:t>Someone retiring at 65 with a balance of $500,000 would pay up to 19% of their cumulative benefits in fees over 35 years.</w:t>
      </w:r>
      <w:r w:rsidR="004D0615" w:rsidRPr="00863F96">
        <w:rPr>
          <w:rStyle w:val="s14"/>
          <w:rFonts w:ascii="Arial" w:hAnsi="Arial" w:cs="Arial"/>
          <w:sz w:val="20"/>
          <w:szCs w:val="20"/>
        </w:rPr>
        <w:t xml:space="preserve"> </w:t>
      </w:r>
      <w:r w:rsidR="004D0615" w:rsidRPr="00863F96">
        <w:rPr>
          <w:rStyle w:val="s14"/>
          <w:rFonts w:ascii="Arial" w:hAnsi="Arial" w:cs="Arial"/>
          <w:sz w:val="20"/>
          <w:szCs w:val="20"/>
          <w:vertAlign w:val="superscript"/>
        </w:rPr>
        <w:t>3</w:t>
      </w:r>
    </w:p>
    <w:p w:rsidR="00E10383" w:rsidRDefault="00E10383" w:rsidP="002F3A0E">
      <w:pPr>
        <w:pStyle w:val="BasicParagraph"/>
        <w:rPr>
          <w:rFonts w:ascii="Arial" w:hAnsi="Arial" w:cs="Arial"/>
          <w:color w:val="auto"/>
          <w:sz w:val="20"/>
          <w:szCs w:val="20"/>
        </w:rPr>
      </w:pPr>
    </w:p>
    <w:p w:rsidR="001F6EE0" w:rsidRDefault="001F6EE0" w:rsidP="002F3A0E">
      <w:pPr>
        <w:pStyle w:val="BasicParagraph"/>
        <w:rPr>
          <w:rFonts w:ascii="Arial" w:hAnsi="Arial" w:cs="Arial"/>
          <w:color w:val="auto"/>
          <w:sz w:val="20"/>
          <w:szCs w:val="20"/>
        </w:rPr>
      </w:pPr>
      <w:r>
        <w:rPr>
          <w:rFonts w:ascii="Arial" w:hAnsi="Arial" w:cs="Arial"/>
          <w:color w:val="auto"/>
          <w:sz w:val="20"/>
          <w:szCs w:val="20"/>
        </w:rPr>
        <w:t xml:space="preserve">The Rainmaker research has also shown </w:t>
      </w:r>
      <w:r w:rsidR="009400B5">
        <w:rPr>
          <w:rFonts w:ascii="Arial" w:hAnsi="Arial" w:cs="Arial"/>
          <w:color w:val="auto"/>
          <w:sz w:val="20"/>
          <w:szCs w:val="20"/>
        </w:rPr>
        <w:t xml:space="preserve">Australians are paying on average 1.26% per annum in fees and </w:t>
      </w:r>
      <w:r w:rsidR="002565E1">
        <w:rPr>
          <w:rFonts w:ascii="Arial" w:hAnsi="Arial" w:cs="Arial"/>
          <w:color w:val="auto"/>
          <w:sz w:val="20"/>
          <w:szCs w:val="20"/>
        </w:rPr>
        <w:t xml:space="preserve">personal </w:t>
      </w:r>
      <w:r>
        <w:rPr>
          <w:rFonts w:ascii="Arial" w:hAnsi="Arial" w:cs="Arial"/>
          <w:color w:val="auto"/>
          <w:sz w:val="20"/>
          <w:szCs w:val="20"/>
        </w:rPr>
        <w:t>funds charge the</w:t>
      </w:r>
      <w:r w:rsidR="0052131D">
        <w:rPr>
          <w:rFonts w:ascii="Arial" w:hAnsi="Arial" w:cs="Arial"/>
          <w:color w:val="auto"/>
          <w:sz w:val="20"/>
          <w:szCs w:val="20"/>
        </w:rPr>
        <w:t xml:space="preserve"> most </w:t>
      </w:r>
      <w:r>
        <w:rPr>
          <w:rFonts w:ascii="Arial" w:hAnsi="Arial" w:cs="Arial"/>
          <w:color w:val="auto"/>
          <w:sz w:val="20"/>
          <w:szCs w:val="20"/>
        </w:rPr>
        <w:t>–</w:t>
      </w:r>
      <w:r w:rsidR="0052131D">
        <w:rPr>
          <w:rFonts w:ascii="Arial" w:hAnsi="Arial" w:cs="Arial"/>
          <w:color w:val="auto"/>
          <w:sz w:val="20"/>
          <w:szCs w:val="20"/>
        </w:rPr>
        <w:t xml:space="preserve"> </w:t>
      </w:r>
      <w:r w:rsidR="00436BB6">
        <w:rPr>
          <w:rFonts w:ascii="Arial" w:hAnsi="Arial" w:cs="Arial"/>
          <w:color w:val="auto"/>
          <w:sz w:val="20"/>
          <w:szCs w:val="20"/>
        </w:rPr>
        <w:t xml:space="preserve">2.01% </w:t>
      </w:r>
      <w:r w:rsidR="00C9767D">
        <w:rPr>
          <w:rFonts w:ascii="Arial" w:hAnsi="Arial" w:cs="Arial"/>
          <w:color w:val="auto"/>
          <w:sz w:val="20"/>
          <w:szCs w:val="20"/>
        </w:rPr>
        <w:t xml:space="preserve">p.a. </w:t>
      </w:r>
      <w:r w:rsidR="00436BB6">
        <w:rPr>
          <w:rFonts w:ascii="Arial" w:hAnsi="Arial" w:cs="Arial"/>
          <w:color w:val="auto"/>
          <w:sz w:val="20"/>
          <w:szCs w:val="20"/>
        </w:rPr>
        <w:t xml:space="preserve">per member. </w:t>
      </w:r>
    </w:p>
    <w:p w:rsidR="001F6EE0" w:rsidRDefault="001F6EE0" w:rsidP="002F3A0E">
      <w:pPr>
        <w:pStyle w:val="BasicParagraph"/>
        <w:rPr>
          <w:rFonts w:ascii="Arial" w:hAnsi="Arial" w:cs="Arial"/>
          <w:color w:val="auto"/>
          <w:sz w:val="20"/>
          <w:szCs w:val="20"/>
        </w:rPr>
      </w:pPr>
    </w:p>
    <w:tbl>
      <w:tblPr>
        <w:tblStyle w:val="LightList-Accent6"/>
        <w:tblW w:w="0" w:type="auto"/>
        <w:tblLook w:val="04A0" w:firstRow="1" w:lastRow="0" w:firstColumn="1" w:lastColumn="0" w:noHBand="0" w:noVBand="1"/>
      </w:tblPr>
      <w:tblGrid>
        <w:gridCol w:w="4621"/>
        <w:gridCol w:w="4621"/>
      </w:tblGrid>
      <w:tr w:rsidR="001F6EE0" w:rsidTr="001F6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1F6EE0" w:rsidRDefault="001F6EE0" w:rsidP="002F3A0E">
            <w:pPr>
              <w:pStyle w:val="BasicParagraph"/>
              <w:rPr>
                <w:rFonts w:ascii="Arial" w:hAnsi="Arial" w:cs="Arial"/>
                <w:color w:val="auto"/>
                <w:sz w:val="20"/>
                <w:szCs w:val="20"/>
              </w:rPr>
            </w:pPr>
            <w:r>
              <w:rPr>
                <w:rFonts w:ascii="Arial" w:hAnsi="Arial" w:cs="Arial"/>
                <w:color w:val="auto"/>
                <w:sz w:val="20"/>
                <w:szCs w:val="20"/>
              </w:rPr>
              <w:t>Fund type</w:t>
            </w:r>
          </w:p>
        </w:tc>
        <w:tc>
          <w:tcPr>
            <w:tcW w:w="4621" w:type="dxa"/>
          </w:tcPr>
          <w:p w:rsidR="001F6EE0" w:rsidRDefault="001F6EE0" w:rsidP="00C9767D">
            <w:pPr>
              <w:pStyle w:val="BasicParagraph"/>
              <w:cnfStyle w:val="100000000000" w:firstRow="1"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 xml:space="preserve">Average </w:t>
            </w:r>
            <w:r w:rsidR="00C9767D">
              <w:rPr>
                <w:rFonts w:ascii="Arial" w:hAnsi="Arial" w:cs="Arial"/>
                <w:color w:val="auto"/>
                <w:sz w:val="20"/>
                <w:szCs w:val="20"/>
              </w:rPr>
              <w:t xml:space="preserve">annual </w:t>
            </w:r>
            <w:r>
              <w:rPr>
                <w:rFonts w:ascii="Arial" w:hAnsi="Arial" w:cs="Arial"/>
                <w:color w:val="auto"/>
                <w:sz w:val="20"/>
                <w:szCs w:val="20"/>
              </w:rPr>
              <w:t>fee</w:t>
            </w:r>
            <w:r w:rsidR="00C9767D">
              <w:rPr>
                <w:rFonts w:ascii="Arial" w:hAnsi="Arial" w:cs="Arial"/>
                <w:color w:val="auto"/>
                <w:sz w:val="20"/>
                <w:szCs w:val="20"/>
              </w:rPr>
              <w:t xml:space="preserve"> </w:t>
            </w:r>
          </w:p>
        </w:tc>
      </w:tr>
      <w:tr w:rsidR="001F6EE0" w:rsidTr="001F6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1F6EE0" w:rsidRDefault="00934874" w:rsidP="002F3A0E">
            <w:pPr>
              <w:pStyle w:val="BasicParagraph"/>
              <w:rPr>
                <w:rFonts w:ascii="Arial" w:hAnsi="Arial" w:cs="Arial"/>
                <w:color w:val="auto"/>
                <w:sz w:val="20"/>
                <w:szCs w:val="20"/>
              </w:rPr>
            </w:pPr>
            <w:r>
              <w:rPr>
                <w:rFonts w:ascii="Arial" w:hAnsi="Arial" w:cs="Arial"/>
                <w:color w:val="auto"/>
                <w:sz w:val="20"/>
                <w:szCs w:val="20"/>
              </w:rPr>
              <w:t xml:space="preserve">Personal </w:t>
            </w:r>
            <w:r w:rsidR="00436BB6">
              <w:rPr>
                <w:rFonts w:ascii="Arial" w:hAnsi="Arial" w:cs="Arial"/>
                <w:color w:val="auto"/>
                <w:sz w:val="20"/>
                <w:szCs w:val="20"/>
              </w:rPr>
              <w:t>Funds</w:t>
            </w:r>
          </w:p>
        </w:tc>
        <w:tc>
          <w:tcPr>
            <w:tcW w:w="4621" w:type="dxa"/>
          </w:tcPr>
          <w:p w:rsidR="001F6EE0" w:rsidRDefault="0052131D" w:rsidP="00934874">
            <w:pPr>
              <w:pStyle w:val="Basic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2.0</w:t>
            </w:r>
            <w:r w:rsidR="00934874">
              <w:rPr>
                <w:rFonts w:ascii="Arial" w:hAnsi="Arial" w:cs="Arial"/>
                <w:color w:val="auto"/>
                <w:sz w:val="20"/>
                <w:szCs w:val="20"/>
              </w:rPr>
              <w:t>1</w:t>
            </w:r>
            <w:r w:rsidR="00436BB6">
              <w:rPr>
                <w:rFonts w:ascii="Arial" w:hAnsi="Arial" w:cs="Arial"/>
                <w:color w:val="auto"/>
                <w:sz w:val="20"/>
                <w:szCs w:val="20"/>
              </w:rPr>
              <w:t>%</w:t>
            </w:r>
          </w:p>
        </w:tc>
      </w:tr>
      <w:tr w:rsidR="001F6EE0" w:rsidTr="001F6EE0">
        <w:tc>
          <w:tcPr>
            <w:cnfStyle w:val="001000000000" w:firstRow="0" w:lastRow="0" w:firstColumn="1" w:lastColumn="0" w:oddVBand="0" w:evenVBand="0" w:oddHBand="0" w:evenHBand="0" w:firstRowFirstColumn="0" w:firstRowLastColumn="0" w:lastRowFirstColumn="0" w:lastRowLastColumn="0"/>
            <w:tcW w:w="4621" w:type="dxa"/>
          </w:tcPr>
          <w:p w:rsidR="001F6EE0" w:rsidRDefault="00436BB6" w:rsidP="002565E1">
            <w:pPr>
              <w:pStyle w:val="BasicParagraph"/>
              <w:rPr>
                <w:rFonts w:ascii="Arial" w:hAnsi="Arial" w:cs="Arial"/>
                <w:color w:val="auto"/>
                <w:sz w:val="20"/>
                <w:szCs w:val="20"/>
              </w:rPr>
            </w:pPr>
            <w:r>
              <w:rPr>
                <w:rFonts w:ascii="Arial" w:hAnsi="Arial" w:cs="Arial"/>
                <w:color w:val="auto"/>
                <w:sz w:val="20"/>
                <w:szCs w:val="20"/>
              </w:rPr>
              <w:t>Retirement Funds</w:t>
            </w:r>
            <w:r w:rsidR="00934874">
              <w:rPr>
                <w:rFonts w:ascii="Arial" w:hAnsi="Arial" w:cs="Arial"/>
                <w:color w:val="auto"/>
                <w:sz w:val="20"/>
                <w:szCs w:val="20"/>
              </w:rPr>
              <w:t xml:space="preserve"> (e</w:t>
            </w:r>
            <w:r w:rsidR="002565E1">
              <w:rPr>
                <w:rFonts w:ascii="Arial" w:hAnsi="Arial" w:cs="Arial"/>
                <w:color w:val="auto"/>
                <w:sz w:val="20"/>
                <w:szCs w:val="20"/>
              </w:rPr>
              <w:t>.</w:t>
            </w:r>
            <w:r w:rsidR="00934874">
              <w:rPr>
                <w:rFonts w:ascii="Arial" w:hAnsi="Arial" w:cs="Arial"/>
                <w:color w:val="auto"/>
                <w:sz w:val="20"/>
                <w:szCs w:val="20"/>
              </w:rPr>
              <w:t>g</w:t>
            </w:r>
            <w:r w:rsidR="002565E1">
              <w:rPr>
                <w:rFonts w:ascii="Arial" w:hAnsi="Arial" w:cs="Arial"/>
                <w:color w:val="auto"/>
                <w:sz w:val="20"/>
                <w:szCs w:val="20"/>
              </w:rPr>
              <w:t>.</w:t>
            </w:r>
            <w:r w:rsidR="00934874">
              <w:rPr>
                <w:rFonts w:ascii="Arial" w:hAnsi="Arial" w:cs="Arial"/>
                <w:color w:val="auto"/>
                <w:sz w:val="20"/>
                <w:szCs w:val="20"/>
              </w:rPr>
              <w:t xml:space="preserve"> Pension funds)</w:t>
            </w:r>
          </w:p>
        </w:tc>
        <w:tc>
          <w:tcPr>
            <w:tcW w:w="4621" w:type="dxa"/>
          </w:tcPr>
          <w:p w:rsidR="001F6EE0" w:rsidRDefault="00436BB6" w:rsidP="002F3A0E">
            <w:pPr>
              <w:pStyle w:val="Basic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1.84%</w:t>
            </w:r>
          </w:p>
        </w:tc>
      </w:tr>
      <w:tr w:rsidR="001F6EE0" w:rsidTr="001F6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1F6EE0" w:rsidRDefault="00436BB6" w:rsidP="002F3A0E">
            <w:pPr>
              <w:pStyle w:val="BasicParagraph"/>
              <w:rPr>
                <w:rFonts w:ascii="Arial" w:hAnsi="Arial" w:cs="Arial"/>
                <w:color w:val="auto"/>
                <w:sz w:val="20"/>
                <w:szCs w:val="20"/>
              </w:rPr>
            </w:pPr>
            <w:r>
              <w:rPr>
                <w:rFonts w:ascii="Arial" w:hAnsi="Arial" w:cs="Arial"/>
                <w:color w:val="auto"/>
                <w:sz w:val="20"/>
                <w:szCs w:val="20"/>
              </w:rPr>
              <w:t>Workplace Funds</w:t>
            </w:r>
            <w:r w:rsidR="002565E1">
              <w:rPr>
                <w:rFonts w:ascii="Arial" w:hAnsi="Arial" w:cs="Arial"/>
                <w:color w:val="auto"/>
                <w:sz w:val="20"/>
                <w:szCs w:val="20"/>
              </w:rPr>
              <w:t xml:space="preserve"> (e.g.</w:t>
            </w:r>
            <w:r w:rsidR="00934874">
              <w:rPr>
                <w:rFonts w:ascii="Arial" w:hAnsi="Arial" w:cs="Arial"/>
                <w:color w:val="auto"/>
                <w:sz w:val="20"/>
                <w:szCs w:val="20"/>
              </w:rPr>
              <w:t xml:space="preserve"> Corporate and Employer sponsored funds)</w:t>
            </w:r>
          </w:p>
        </w:tc>
        <w:tc>
          <w:tcPr>
            <w:tcW w:w="4621" w:type="dxa"/>
          </w:tcPr>
          <w:p w:rsidR="001F6EE0" w:rsidRDefault="0052131D" w:rsidP="002F3A0E">
            <w:pPr>
              <w:pStyle w:val="Basic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1.3</w:t>
            </w:r>
            <w:r w:rsidR="00436BB6">
              <w:rPr>
                <w:rFonts w:ascii="Arial" w:hAnsi="Arial" w:cs="Arial"/>
                <w:color w:val="auto"/>
                <w:sz w:val="20"/>
                <w:szCs w:val="20"/>
              </w:rPr>
              <w:t>8%</w:t>
            </w:r>
          </w:p>
        </w:tc>
      </w:tr>
      <w:tr w:rsidR="00436BB6" w:rsidTr="001F6EE0">
        <w:tc>
          <w:tcPr>
            <w:cnfStyle w:val="001000000000" w:firstRow="0" w:lastRow="0" w:firstColumn="1" w:lastColumn="0" w:oddVBand="0" w:evenVBand="0" w:oddHBand="0" w:evenHBand="0" w:firstRowFirstColumn="0" w:firstRowLastColumn="0" w:lastRowFirstColumn="0" w:lastRowLastColumn="0"/>
            <w:tcW w:w="4621" w:type="dxa"/>
          </w:tcPr>
          <w:p w:rsidR="00436BB6" w:rsidRDefault="00436BB6" w:rsidP="002F3A0E">
            <w:pPr>
              <w:pStyle w:val="BasicParagraph"/>
              <w:rPr>
                <w:rFonts w:ascii="Arial" w:hAnsi="Arial" w:cs="Arial"/>
                <w:color w:val="auto"/>
                <w:sz w:val="20"/>
                <w:szCs w:val="20"/>
              </w:rPr>
            </w:pPr>
            <w:r>
              <w:rPr>
                <w:rFonts w:ascii="Arial" w:hAnsi="Arial" w:cs="Arial"/>
                <w:color w:val="auto"/>
                <w:sz w:val="20"/>
                <w:szCs w:val="20"/>
              </w:rPr>
              <w:t>SMSFs</w:t>
            </w:r>
          </w:p>
        </w:tc>
        <w:tc>
          <w:tcPr>
            <w:tcW w:w="4621" w:type="dxa"/>
          </w:tcPr>
          <w:p w:rsidR="00436BB6" w:rsidRDefault="00436BB6" w:rsidP="002F3A0E">
            <w:pPr>
              <w:pStyle w:val="BasicParagraph"/>
              <w:cnfStyle w:val="000000000000" w:firstRow="0" w:lastRow="0" w:firstColumn="0" w:lastColumn="0" w:oddVBand="0" w:evenVBand="0" w:oddHBand="0"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0.87%</w:t>
            </w:r>
          </w:p>
        </w:tc>
      </w:tr>
      <w:tr w:rsidR="0052131D" w:rsidTr="001F6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52131D" w:rsidRDefault="0052131D" w:rsidP="002F3A0E">
            <w:pPr>
              <w:pStyle w:val="BasicParagraph"/>
              <w:rPr>
                <w:rFonts w:ascii="Arial" w:hAnsi="Arial" w:cs="Arial"/>
                <w:color w:val="auto"/>
                <w:sz w:val="20"/>
                <w:szCs w:val="20"/>
              </w:rPr>
            </w:pPr>
            <w:r>
              <w:rPr>
                <w:rFonts w:ascii="Arial" w:hAnsi="Arial" w:cs="Arial"/>
                <w:color w:val="auto"/>
                <w:sz w:val="20"/>
                <w:szCs w:val="20"/>
              </w:rPr>
              <w:t>Not-for-Profit Funds (e.g. Industry Funds)</w:t>
            </w:r>
          </w:p>
        </w:tc>
        <w:tc>
          <w:tcPr>
            <w:tcW w:w="4621" w:type="dxa"/>
          </w:tcPr>
          <w:p w:rsidR="0052131D" w:rsidRDefault="0052131D" w:rsidP="002F3A0E">
            <w:pPr>
              <w:pStyle w:val="BasicParagraph"/>
              <w:cnfStyle w:val="000000100000" w:firstRow="0" w:lastRow="0" w:firstColumn="0" w:lastColumn="0" w:oddVBand="0" w:evenVBand="0" w:oddHBand="1" w:evenHBand="0" w:firstRowFirstColumn="0" w:firstRowLastColumn="0" w:lastRowFirstColumn="0" w:lastRowLastColumn="0"/>
              <w:rPr>
                <w:rFonts w:ascii="Arial" w:hAnsi="Arial" w:cs="Arial"/>
                <w:color w:val="auto"/>
                <w:sz w:val="20"/>
                <w:szCs w:val="20"/>
              </w:rPr>
            </w:pPr>
            <w:r>
              <w:rPr>
                <w:rFonts w:ascii="Arial" w:hAnsi="Arial" w:cs="Arial"/>
                <w:color w:val="auto"/>
                <w:sz w:val="20"/>
                <w:szCs w:val="20"/>
              </w:rPr>
              <w:t>0.97%</w:t>
            </w:r>
          </w:p>
        </w:tc>
      </w:tr>
    </w:tbl>
    <w:p w:rsidR="001F6EE0" w:rsidRDefault="001F6EE0" w:rsidP="002F3A0E">
      <w:pPr>
        <w:pStyle w:val="BasicParagraph"/>
        <w:rPr>
          <w:rFonts w:ascii="Arial" w:hAnsi="Arial" w:cs="Arial"/>
          <w:color w:val="auto"/>
          <w:sz w:val="20"/>
          <w:szCs w:val="20"/>
        </w:rPr>
      </w:pPr>
    </w:p>
    <w:p w:rsidR="001F6EE0" w:rsidRDefault="001F6EE0" w:rsidP="002F3A0E">
      <w:pPr>
        <w:pStyle w:val="BasicParagraph"/>
        <w:rPr>
          <w:rFonts w:ascii="Arial" w:hAnsi="Arial" w:cs="Arial"/>
          <w:color w:val="auto"/>
          <w:sz w:val="20"/>
          <w:szCs w:val="20"/>
        </w:rPr>
      </w:pPr>
      <w:r>
        <w:rPr>
          <w:rFonts w:ascii="Arial" w:hAnsi="Arial" w:cs="Arial"/>
          <w:color w:val="auto"/>
          <w:sz w:val="20"/>
          <w:szCs w:val="20"/>
        </w:rPr>
        <w:t>“Consumers have the right to be frustrated at paying such large fees, particularly when</w:t>
      </w:r>
      <w:r w:rsidR="0052131D">
        <w:rPr>
          <w:rFonts w:ascii="Arial" w:hAnsi="Arial" w:cs="Arial"/>
          <w:color w:val="auto"/>
          <w:sz w:val="20"/>
          <w:szCs w:val="20"/>
        </w:rPr>
        <w:t xml:space="preserve"> the research shows there is no correlation between fees and performance</w:t>
      </w:r>
      <w:r w:rsidR="009400B5">
        <w:rPr>
          <w:rFonts w:ascii="Arial" w:hAnsi="Arial" w:cs="Arial"/>
          <w:color w:val="auto"/>
          <w:sz w:val="20"/>
          <w:szCs w:val="20"/>
        </w:rPr>
        <w:t>,” said Christofides.</w:t>
      </w:r>
    </w:p>
    <w:p w:rsidR="00436BB6" w:rsidRDefault="00436BB6" w:rsidP="002F3A0E">
      <w:pPr>
        <w:pStyle w:val="BasicParagraph"/>
        <w:rPr>
          <w:rFonts w:ascii="Arial" w:hAnsi="Arial" w:cs="Arial"/>
          <w:color w:val="auto"/>
          <w:sz w:val="20"/>
          <w:szCs w:val="20"/>
        </w:rPr>
      </w:pPr>
    </w:p>
    <w:p w:rsidR="00863F96" w:rsidRDefault="0052131D" w:rsidP="00863F96">
      <w:pPr>
        <w:pStyle w:val="BasicParagraph"/>
        <w:rPr>
          <w:rFonts w:ascii="Arial" w:hAnsi="Arial" w:cs="Arial"/>
          <w:color w:val="auto"/>
          <w:sz w:val="20"/>
          <w:szCs w:val="20"/>
        </w:rPr>
      </w:pPr>
      <w:r>
        <w:rPr>
          <w:rFonts w:ascii="Arial" w:hAnsi="Arial" w:cs="Arial"/>
          <w:color w:val="auto"/>
          <w:sz w:val="20"/>
          <w:szCs w:val="20"/>
        </w:rPr>
        <w:t xml:space="preserve">Last year, </w:t>
      </w:r>
      <w:r w:rsidR="00E10383">
        <w:rPr>
          <w:rFonts w:ascii="Arial" w:hAnsi="Arial" w:cs="Arial"/>
          <w:color w:val="auto"/>
          <w:sz w:val="20"/>
          <w:szCs w:val="20"/>
        </w:rPr>
        <w:t>ING DIRECT launched</w:t>
      </w:r>
      <w:r w:rsidR="00B77B81">
        <w:rPr>
          <w:rFonts w:ascii="Arial" w:hAnsi="Arial" w:cs="Arial"/>
          <w:color w:val="auto"/>
          <w:sz w:val="20"/>
          <w:szCs w:val="20"/>
        </w:rPr>
        <w:t xml:space="preserve"> Living Super -</w:t>
      </w:r>
      <w:r>
        <w:rPr>
          <w:rFonts w:ascii="Arial" w:hAnsi="Arial" w:cs="Arial"/>
          <w:color w:val="auto"/>
          <w:sz w:val="20"/>
          <w:szCs w:val="20"/>
        </w:rPr>
        <w:t xml:space="preserve"> the first balanced fund</w:t>
      </w:r>
      <w:r w:rsidR="00095D35">
        <w:rPr>
          <w:rFonts w:ascii="Arial" w:hAnsi="Arial" w:cs="Arial"/>
          <w:color w:val="auto"/>
          <w:sz w:val="20"/>
          <w:szCs w:val="20"/>
        </w:rPr>
        <w:t xml:space="preserve"> for all Australians w</w:t>
      </w:r>
      <w:r w:rsidR="00E10383">
        <w:rPr>
          <w:rFonts w:ascii="Arial" w:hAnsi="Arial" w:cs="Arial"/>
          <w:color w:val="auto"/>
          <w:sz w:val="20"/>
          <w:szCs w:val="20"/>
        </w:rPr>
        <w:t>ith no admin or management fees.</w:t>
      </w:r>
      <w:r w:rsidR="00436BB6">
        <w:rPr>
          <w:rFonts w:ascii="Arial" w:hAnsi="Arial" w:cs="Arial"/>
          <w:color w:val="auto"/>
          <w:sz w:val="20"/>
          <w:szCs w:val="20"/>
        </w:rPr>
        <w:t xml:space="preserve"> The fund i</w:t>
      </w:r>
      <w:r>
        <w:rPr>
          <w:rFonts w:ascii="Arial" w:hAnsi="Arial" w:cs="Arial"/>
          <w:color w:val="auto"/>
          <w:sz w:val="20"/>
          <w:szCs w:val="20"/>
        </w:rPr>
        <w:t>s made up of 50% cash and 50%</w:t>
      </w:r>
      <w:r w:rsidR="00644B93">
        <w:rPr>
          <w:rFonts w:ascii="Arial" w:hAnsi="Arial" w:cs="Arial"/>
          <w:color w:val="auto"/>
          <w:sz w:val="20"/>
          <w:szCs w:val="20"/>
        </w:rPr>
        <w:t xml:space="preserve"> </w:t>
      </w:r>
      <w:r>
        <w:rPr>
          <w:rFonts w:ascii="Arial" w:hAnsi="Arial" w:cs="Arial"/>
          <w:color w:val="auto"/>
          <w:sz w:val="20"/>
          <w:szCs w:val="20"/>
        </w:rPr>
        <w:t>shares</w:t>
      </w:r>
      <w:r w:rsidR="00436BB6">
        <w:rPr>
          <w:rFonts w:ascii="Arial" w:hAnsi="Arial" w:cs="Arial"/>
          <w:color w:val="auto"/>
          <w:sz w:val="20"/>
          <w:szCs w:val="20"/>
        </w:rPr>
        <w:t>.</w:t>
      </w:r>
    </w:p>
    <w:p w:rsidR="00C9767D" w:rsidRDefault="00C9767D" w:rsidP="00863F96">
      <w:pPr>
        <w:pStyle w:val="BasicParagraph"/>
        <w:rPr>
          <w:rFonts w:ascii="Arial" w:hAnsi="Arial" w:cs="Arial"/>
          <w:color w:val="auto"/>
          <w:sz w:val="20"/>
          <w:szCs w:val="20"/>
        </w:rPr>
      </w:pPr>
    </w:p>
    <w:p w:rsidR="00863F96" w:rsidRPr="00863F96" w:rsidRDefault="00863F96" w:rsidP="00863F96">
      <w:pPr>
        <w:pStyle w:val="BasicParagraph"/>
        <w:jc w:val="center"/>
        <w:rPr>
          <w:rFonts w:ascii="Arial" w:hAnsi="Arial" w:cs="Arial"/>
          <w:b/>
          <w:i/>
          <w:iCs/>
          <w:sz w:val="20"/>
          <w:szCs w:val="20"/>
        </w:rPr>
      </w:pPr>
      <w:r>
        <w:rPr>
          <w:rFonts w:ascii="Arial" w:hAnsi="Arial" w:cs="Arial"/>
          <w:b/>
          <w:i/>
          <w:iCs/>
          <w:sz w:val="20"/>
          <w:szCs w:val="20"/>
        </w:rPr>
        <w:t>-ENDS</w:t>
      </w:r>
      <w:r w:rsidR="0061676A">
        <w:rPr>
          <w:rFonts w:ascii="Arial" w:hAnsi="Arial" w:cs="Arial"/>
          <w:b/>
          <w:i/>
          <w:iCs/>
          <w:sz w:val="20"/>
          <w:szCs w:val="20"/>
        </w:rPr>
        <w:t>-</w:t>
      </w:r>
    </w:p>
    <w:p w:rsidR="003D2E5F" w:rsidRPr="005547A3" w:rsidRDefault="00083EC3" w:rsidP="005547A3">
      <w:pPr>
        <w:spacing w:after="0" w:line="300" w:lineRule="auto"/>
        <w:rPr>
          <w:rFonts w:ascii="Arial" w:hAnsi="Arial" w:cs="Arial"/>
          <w:b/>
          <w:iCs/>
          <w:sz w:val="20"/>
          <w:szCs w:val="20"/>
        </w:rPr>
      </w:pPr>
      <w:r>
        <w:rPr>
          <w:rFonts w:ascii="Arial" w:hAnsi="Arial" w:cs="Arial"/>
          <w:b/>
          <w:iCs/>
          <w:sz w:val="20"/>
          <w:szCs w:val="20"/>
        </w:rPr>
        <w:lastRenderedPageBreak/>
        <w:t xml:space="preserve">1. </w:t>
      </w:r>
      <w:r w:rsidR="002514B5">
        <w:rPr>
          <w:rFonts w:ascii="Arial" w:hAnsi="Arial" w:cs="Arial"/>
          <w:b/>
          <w:iCs/>
          <w:sz w:val="20"/>
          <w:szCs w:val="20"/>
        </w:rPr>
        <w:t xml:space="preserve">RESEARCH </w:t>
      </w:r>
      <w:r w:rsidR="003D2E5F">
        <w:rPr>
          <w:rFonts w:ascii="Arial" w:hAnsi="Arial" w:cs="Arial"/>
          <w:b/>
          <w:iCs/>
          <w:sz w:val="20"/>
          <w:szCs w:val="20"/>
        </w:rPr>
        <w:t>–</w:t>
      </w:r>
      <w:r w:rsidR="002514B5">
        <w:rPr>
          <w:rFonts w:ascii="Arial" w:hAnsi="Arial" w:cs="Arial"/>
          <w:b/>
          <w:iCs/>
          <w:sz w:val="20"/>
          <w:szCs w:val="20"/>
        </w:rPr>
        <w:t xml:space="preserve"> DETAILS</w:t>
      </w:r>
    </w:p>
    <w:p w:rsidR="002514B5" w:rsidRDefault="002514B5" w:rsidP="00856E85">
      <w:pPr>
        <w:spacing w:after="0" w:line="300" w:lineRule="auto"/>
        <w:jc w:val="center"/>
        <w:rPr>
          <w:rFonts w:ascii="Arial" w:hAnsi="Arial" w:cs="Arial"/>
          <w:b/>
          <w:i/>
          <w:iCs/>
          <w:sz w:val="20"/>
          <w:szCs w:val="20"/>
        </w:rPr>
      </w:pPr>
      <w:r>
        <w:rPr>
          <w:noProof/>
          <w:lang w:eastAsia="en-AU"/>
        </w:rPr>
        <w:drawing>
          <wp:inline distT="0" distB="0" distL="0" distR="0">
            <wp:extent cx="5731510" cy="3861421"/>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861421"/>
                    </a:xfrm>
                    <a:prstGeom prst="rect">
                      <a:avLst/>
                    </a:prstGeom>
                  </pic:spPr>
                </pic:pic>
              </a:graphicData>
            </a:graphic>
          </wp:inline>
        </w:drawing>
      </w:r>
    </w:p>
    <w:p w:rsidR="00605BD3" w:rsidRDefault="00605BD3" w:rsidP="00386C7B">
      <w:pPr>
        <w:widowControl w:val="0"/>
        <w:tabs>
          <w:tab w:val="left" w:pos="2520"/>
          <w:tab w:val="left" w:pos="5760"/>
        </w:tabs>
        <w:spacing w:after="0"/>
        <w:jc w:val="center"/>
        <w:rPr>
          <w:rFonts w:ascii="Arial" w:hAnsi="Arial" w:cs="Arial"/>
          <w:sz w:val="20"/>
          <w:szCs w:val="20"/>
        </w:rPr>
      </w:pPr>
    </w:p>
    <w:p w:rsidR="004D0615" w:rsidRPr="00863F96" w:rsidRDefault="004D0615" w:rsidP="00863F96">
      <w:pPr>
        <w:widowControl w:val="0"/>
        <w:tabs>
          <w:tab w:val="left" w:pos="2520"/>
          <w:tab w:val="left" w:pos="5760"/>
        </w:tabs>
        <w:spacing w:after="0"/>
        <w:rPr>
          <w:rFonts w:ascii="Arial" w:hAnsi="Arial" w:cs="Arial"/>
          <w:i/>
          <w:sz w:val="20"/>
          <w:szCs w:val="20"/>
        </w:rPr>
      </w:pPr>
      <w:r w:rsidRPr="00863F96">
        <w:rPr>
          <w:rFonts w:ascii="Arial" w:hAnsi="Arial" w:cs="Arial"/>
          <w:i/>
          <w:sz w:val="20"/>
          <w:szCs w:val="20"/>
        </w:rPr>
        <w:t xml:space="preserve">2. Based on an individual commencing work at age 20 with an annual salary of $25,000 contributing the current standard 9% SG and receiving annual investment earnings of 6% per annum net of tax. </w:t>
      </w:r>
    </w:p>
    <w:p w:rsidR="004D0615" w:rsidRPr="00863F96" w:rsidRDefault="004D0615" w:rsidP="00863F96">
      <w:pPr>
        <w:widowControl w:val="0"/>
        <w:tabs>
          <w:tab w:val="left" w:pos="2520"/>
          <w:tab w:val="left" w:pos="5760"/>
        </w:tabs>
        <w:spacing w:after="0"/>
        <w:rPr>
          <w:rFonts w:ascii="Arial" w:hAnsi="Arial" w:cs="Arial"/>
          <w:i/>
          <w:sz w:val="20"/>
          <w:szCs w:val="20"/>
        </w:rPr>
      </w:pPr>
    </w:p>
    <w:p w:rsidR="004D0615" w:rsidRPr="00863F96" w:rsidRDefault="004D0615" w:rsidP="00863F96">
      <w:pPr>
        <w:widowControl w:val="0"/>
        <w:tabs>
          <w:tab w:val="left" w:pos="2520"/>
          <w:tab w:val="left" w:pos="5760"/>
        </w:tabs>
        <w:spacing w:after="0"/>
        <w:rPr>
          <w:rFonts w:ascii="Arial" w:hAnsi="Arial" w:cs="Arial"/>
          <w:i/>
          <w:sz w:val="20"/>
          <w:szCs w:val="20"/>
        </w:rPr>
      </w:pPr>
      <w:r w:rsidRPr="00863F96">
        <w:rPr>
          <w:rFonts w:ascii="Arial" w:hAnsi="Arial" w:cs="Arial"/>
          <w:i/>
          <w:sz w:val="20"/>
          <w:szCs w:val="20"/>
        </w:rPr>
        <w:t>3. Based on annual post tax earnings of 7%, an income stream benefit midway between the legislated minimum annual payment and the ASFA retirement living annual benchmark for a moderate lifestyle, and paying standard fees according to Rainmaker benchmarks for retirement products.</w:t>
      </w:r>
    </w:p>
    <w:p w:rsidR="00863F96" w:rsidRDefault="00863F96" w:rsidP="00863F96">
      <w:pPr>
        <w:pStyle w:val="BasicParagraph"/>
        <w:rPr>
          <w:rFonts w:ascii="Arial" w:hAnsi="Arial" w:cs="Arial"/>
          <w:color w:val="auto"/>
          <w:sz w:val="20"/>
          <w:szCs w:val="20"/>
        </w:rPr>
      </w:pPr>
    </w:p>
    <w:p w:rsidR="00863F96" w:rsidRDefault="00863F96" w:rsidP="00863F96">
      <w:pPr>
        <w:rPr>
          <w:rFonts w:ascii="Arial" w:hAnsi="Arial" w:cs="Arial"/>
          <w:sz w:val="16"/>
          <w:szCs w:val="16"/>
          <w:lang w:eastAsia="en-AU"/>
        </w:rPr>
      </w:pPr>
      <w:r w:rsidRPr="002F3A0E">
        <w:rPr>
          <w:rStyle w:val="s21"/>
          <w:rFonts w:ascii="Arial" w:hAnsi="Arial" w:cs="Arial"/>
          <w:sz w:val="16"/>
          <w:szCs w:val="16"/>
        </w:rPr>
        <w:t>Buy/Sell spreads and other incidental transaction costs apply to all managed investment options, including the Balanced fund. Buy/Sell spreads and other transaction costs are retained within the managed investment and are not fees paid to ING DIRECT or the Trustee. The Trustee may replace one or more of the underlying investment managers which may affect the fee structure for the investment options. The Trustee may vary the fees for ING DIRECT Living Super without your consent by giving 30 days notice.</w:t>
      </w:r>
      <w:r>
        <w:rPr>
          <w:rFonts w:ascii="Arial" w:hAnsi="Arial" w:cs="Arial"/>
          <w:sz w:val="16"/>
          <w:szCs w:val="16"/>
          <w:lang w:eastAsia="en-AU"/>
        </w:rPr>
        <w:t>The Trust Company (Superannuation) Limited ABN 49 006 421 638, AFSL 235153, RSE L0000635, is the Trustee of the ING DIRECT Superannuation Fund ABN 13 355 603 448 (Fund) and the issuer of interests in the Fund.  ING DIRECT Living Super is a product issued out of the Fund. ING DIRECT, a division of ING Bank (Australia) Limited ABN 24 000 893 292, AFSL 229823, is the Promoter of the Fund</w:t>
      </w:r>
      <w:r w:rsidR="00C9767D">
        <w:rPr>
          <w:rFonts w:ascii="Arial" w:hAnsi="Arial" w:cs="Arial"/>
          <w:sz w:val="16"/>
          <w:szCs w:val="16"/>
          <w:lang w:eastAsia="en-AU"/>
        </w:rPr>
        <w:t xml:space="preserve"> </w:t>
      </w:r>
      <w:r w:rsidR="00C9767D" w:rsidRPr="00C9767D">
        <w:rPr>
          <w:rFonts w:ascii="Arial" w:hAnsi="Arial" w:cs="Arial"/>
          <w:sz w:val="16"/>
          <w:szCs w:val="16"/>
          <w:lang w:eastAsia="en-AU"/>
        </w:rPr>
        <w:t>and the issuer of this document</w:t>
      </w:r>
      <w:r w:rsidRPr="00C9767D">
        <w:rPr>
          <w:rFonts w:ascii="Arial" w:hAnsi="Arial" w:cs="Arial"/>
          <w:sz w:val="16"/>
          <w:szCs w:val="16"/>
          <w:lang w:eastAsia="en-AU"/>
        </w:rPr>
        <w:t>.</w:t>
      </w:r>
      <w:r>
        <w:rPr>
          <w:rFonts w:ascii="Arial" w:hAnsi="Arial" w:cs="Arial"/>
          <w:sz w:val="16"/>
          <w:szCs w:val="16"/>
          <w:lang w:eastAsia="en-AU"/>
        </w:rPr>
        <w:t xml:space="preserve">   Eligibility criteria for ING DIRECT Living Super apply. Any advice provided does not take into account your objectives, financial situation or needs and you should consider whether it is appropriate for you.  You should consider the Product Disclosure Statement available at ingdirect.com.au when deciding whether to acquire, or to continue to hold the product.  </w:t>
      </w:r>
    </w:p>
    <w:p w:rsidR="00863F96" w:rsidRPr="002F3A0E" w:rsidRDefault="00863F96" w:rsidP="00863F96">
      <w:pPr>
        <w:rPr>
          <w:rStyle w:val="s21"/>
          <w:rFonts w:ascii="Arial" w:hAnsi="Arial" w:cs="Arial"/>
          <w:b/>
          <w:bCs/>
          <w:sz w:val="16"/>
          <w:szCs w:val="16"/>
        </w:rPr>
      </w:pPr>
      <w:r w:rsidRPr="002F3A0E">
        <w:rPr>
          <w:rStyle w:val="s21"/>
          <w:rFonts w:ascii="Arial" w:hAnsi="Arial" w:cs="Arial"/>
          <w:sz w:val="16"/>
          <w:szCs w:val="16"/>
        </w:rPr>
        <w:t xml:space="preserve">The source for the statement ‘The first Balanced fund </w:t>
      </w:r>
      <w:r>
        <w:rPr>
          <w:rStyle w:val="s21"/>
          <w:rFonts w:ascii="Arial" w:hAnsi="Arial" w:cs="Arial"/>
          <w:sz w:val="16"/>
          <w:szCs w:val="16"/>
        </w:rPr>
        <w:t>for</w:t>
      </w:r>
      <w:r w:rsidRPr="002F3A0E">
        <w:rPr>
          <w:rStyle w:val="s21"/>
          <w:rFonts w:ascii="Arial" w:hAnsi="Arial" w:cs="Arial"/>
          <w:sz w:val="16"/>
          <w:szCs w:val="16"/>
        </w:rPr>
        <w:t xml:space="preserve"> all Australians with no administration or management fees’ is SuperRatings Fee Research April 2012. This research included information about the default options of 372 currently available and closed superannuation funds. The accuracy of the information relied on by SuperRatings was the responsibility of the trustees of the relevant superannuation funds.</w:t>
      </w:r>
      <w:r w:rsidRPr="002F3A0E">
        <w:rPr>
          <w:rStyle w:val="s21"/>
          <w:rFonts w:ascii="Arial" w:hAnsi="Arial" w:cs="Arial"/>
          <w:b/>
          <w:bCs/>
          <w:sz w:val="16"/>
          <w:szCs w:val="16"/>
        </w:rPr>
        <w:t> </w:t>
      </w:r>
    </w:p>
    <w:p w:rsidR="00863F96" w:rsidRDefault="00863F96" w:rsidP="00863F96">
      <w:pPr>
        <w:pStyle w:val="BasicParagraph"/>
        <w:rPr>
          <w:rFonts w:ascii="Arial" w:hAnsi="Arial" w:cs="Arial"/>
          <w:color w:val="auto"/>
          <w:sz w:val="20"/>
          <w:szCs w:val="20"/>
        </w:rPr>
      </w:pPr>
      <w:r>
        <w:rPr>
          <w:rFonts w:ascii="Arial" w:hAnsi="Arial" w:cs="Arial"/>
          <w:sz w:val="16"/>
          <w:szCs w:val="16"/>
          <w:shd w:val="clear" w:color="auto" w:fill="FFFFFF"/>
        </w:rPr>
        <w:t>The information in this release is based on the research conducted by Rainmaker Information Pty Limited ABN 86 095 610 996 contained in the Rainmaker Superannuation Fee Impact Analysis prepared for ING DIRECT in February 2013, the Rainmaker 2012 Super fund fee Survey March 2012 Edition and research released in October 2012 that states that super fund members paid an estimated $20.1 billion in super fees in the 2011/12 financial year.</w:t>
      </w:r>
    </w:p>
    <w:p w:rsidR="00863F96" w:rsidRDefault="00863F96" w:rsidP="00567120">
      <w:pPr>
        <w:widowControl w:val="0"/>
        <w:tabs>
          <w:tab w:val="left" w:pos="2520"/>
          <w:tab w:val="left" w:pos="5760"/>
        </w:tabs>
        <w:spacing w:after="0"/>
        <w:rPr>
          <w:rFonts w:ascii="Arial" w:hAnsi="Arial" w:cs="Arial"/>
          <w:b/>
          <w:sz w:val="20"/>
          <w:szCs w:val="20"/>
        </w:rPr>
      </w:pPr>
    </w:p>
    <w:p w:rsidR="00AD6121" w:rsidRDefault="00AD6121" w:rsidP="00567120">
      <w:pPr>
        <w:widowControl w:val="0"/>
        <w:tabs>
          <w:tab w:val="left" w:pos="2520"/>
          <w:tab w:val="left" w:pos="5760"/>
        </w:tabs>
        <w:spacing w:after="0"/>
        <w:rPr>
          <w:rFonts w:ascii="Arial" w:hAnsi="Arial" w:cs="Arial"/>
          <w:b/>
          <w:sz w:val="20"/>
          <w:szCs w:val="20"/>
        </w:rPr>
      </w:pPr>
      <w:r w:rsidRPr="009914EF">
        <w:rPr>
          <w:rFonts w:ascii="Arial" w:hAnsi="Arial" w:cs="Arial"/>
          <w:b/>
          <w:sz w:val="20"/>
          <w:szCs w:val="20"/>
        </w:rPr>
        <w:t>For</w:t>
      </w:r>
      <w:r w:rsidR="00D76D21">
        <w:rPr>
          <w:rFonts w:ascii="Arial" w:hAnsi="Arial" w:cs="Arial"/>
          <w:b/>
          <w:sz w:val="20"/>
          <w:szCs w:val="20"/>
        </w:rPr>
        <w:t xml:space="preserve"> photos and video</w:t>
      </w:r>
      <w:r w:rsidR="00B61822">
        <w:rPr>
          <w:rFonts w:ascii="Arial" w:hAnsi="Arial" w:cs="Arial"/>
          <w:b/>
          <w:sz w:val="20"/>
          <w:szCs w:val="20"/>
        </w:rPr>
        <w:t xml:space="preserve"> of the event</w:t>
      </w:r>
      <w:r w:rsidRPr="009914EF">
        <w:rPr>
          <w:rFonts w:ascii="Arial" w:hAnsi="Arial" w:cs="Arial"/>
          <w:b/>
          <w:sz w:val="20"/>
          <w:szCs w:val="20"/>
        </w:rPr>
        <w:t xml:space="preserve">, </w:t>
      </w:r>
      <w:r>
        <w:rPr>
          <w:rFonts w:ascii="Arial" w:hAnsi="Arial" w:cs="Arial"/>
          <w:b/>
          <w:sz w:val="20"/>
          <w:szCs w:val="20"/>
        </w:rPr>
        <w:t xml:space="preserve">visit the ING DIRECT </w:t>
      </w:r>
      <w:hyperlink r:id="rId10" w:history="1">
        <w:r w:rsidRPr="00956E23">
          <w:rPr>
            <w:rStyle w:val="Hyperlink"/>
            <w:rFonts w:ascii="Arial" w:hAnsi="Arial" w:cs="Arial"/>
            <w:b/>
            <w:sz w:val="20"/>
            <w:szCs w:val="20"/>
          </w:rPr>
          <w:t>Online Newsroom</w:t>
        </w:r>
      </w:hyperlink>
      <w:r>
        <w:rPr>
          <w:rFonts w:ascii="Arial" w:hAnsi="Arial" w:cs="Arial"/>
          <w:b/>
          <w:sz w:val="20"/>
          <w:szCs w:val="20"/>
        </w:rPr>
        <w:t xml:space="preserve">. </w:t>
      </w:r>
    </w:p>
    <w:p w:rsidR="00863F96" w:rsidRPr="00567120" w:rsidRDefault="00863F96" w:rsidP="00567120">
      <w:pPr>
        <w:widowControl w:val="0"/>
        <w:tabs>
          <w:tab w:val="left" w:pos="2520"/>
          <w:tab w:val="left" w:pos="5760"/>
        </w:tabs>
        <w:spacing w:after="0"/>
        <w:rPr>
          <w:rFonts w:ascii="Arial" w:hAnsi="Arial" w:cs="Arial"/>
          <w:b/>
          <w:sz w:val="20"/>
          <w:szCs w:val="20"/>
        </w:rPr>
      </w:pPr>
    </w:p>
    <w:p w:rsidR="002C61A9" w:rsidRDefault="002C61A9" w:rsidP="002A529A">
      <w:pPr>
        <w:widowControl w:val="0"/>
        <w:tabs>
          <w:tab w:val="left" w:pos="2520"/>
          <w:tab w:val="left" w:pos="5760"/>
        </w:tabs>
        <w:spacing w:after="0"/>
        <w:jc w:val="both"/>
        <w:rPr>
          <w:rFonts w:ascii="Arial" w:hAnsi="Arial" w:cs="Arial"/>
          <w:b/>
          <w:sz w:val="20"/>
          <w:szCs w:val="20"/>
        </w:rPr>
      </w:pPr>
    </w:p>
    <w:p w:rsidR="00644B93" w:rsidRDefault="00644B93" w:rsidP="002A529A">
      <w:pPr>
        <w:widowControl w:val="0"/>
        <w:tabs>
          <w:tab w:val="left" w:pos="2520"/>
          <w:tab w:val="left" w:pos="5760"/>
        </w:tabs>
        <w:spacing w:after="0"/>
        <w:jc w:val="both"/>
        <w:rPr>
          <w:rFonts w:ascii="Arial" w:hAnsi="Arial" w:cs="Arial"/>
          <w:b/>
          <w:sz w:val="20"/>
          <w:szCs w:val="20"/>
        </w:rPr>
      </w:pPr>
    </w:p>
    <w:p w:rsidR="00AD6121" w:rsidRPr="00BD4A7B" w:rsidRDefault="00AD6121" w:rsidP="002A529A">
      <w:pPr>
        <w:widowControl w:val="0"/>
        <w:tabs>
          <w:tab w:val="left" w:pos="2520"/>
          <w:tab w:val="left" w:pos="5760"/>
        </w:tabs>
        <w:spacing w:after="0"/>
        <w:jc w:val="both"/>
        <w:rPr>
          <w:rFonts w:ascii="Arial" w:hAnsi="Arial" w:cs="Arial"/>
          <w:b/>
          <w:sz w:val="20"/>
          <w:szCs w:val="20"/>
        </w:rPr>
      </w:pPr>
      <w:r w:rsidRPr="00BD4A7B">
        <w:rPr>
          <w:rFonts w:ascii="Arial" w:hAnsi="Arial" w:cs="Arial"/>
          <w:b/>
          <w:sz w:val="20"/>
          <w:szCs w:val="20"/>
        </w:rPr>
        <w:lastRenderedPageBreak/>
        <w:t xml:space="preserve">Media contact: </w:t>
      </w:r>
    </w:p>
    <w:p w:rsidR="00AD6121" w:rsidRPr="00386C7B" w:rsidRDefault="00AD6121" w:rsidP="002A529A">
      <w:pPr>
        <w:widowControl w:val="0"/>
        <w:tabs>
          <w:tab w:val="left" w:pos="2700"/>
          <w:tab w:val="left" w:pos="5760"/>
        </w:tabs>
        <w:spacing w:after="0"/>
        <w:jc w:val="both"/>
        <w:rPr>
          <w:rFonts w:ascii="Arial" w:hAnsi="Arial" w:cs="Arial"/>
          <w:sz w:val="20"/>
          <w:szCs w:val="20"/>
        </w:rPr>
      </w:pPr>
      <w:r w:rsidRPr="00386C7B">
        <w:rPr>
          <w:rFonts w:ascii="Arial" w:hAnsi="Arial" w:cs="Arial"/>
          <w:sz w:val="20"/>
          <w:szCs w:val="20"/>
        </w:rPr>
        <w:t>Caroline Thomas</w:t>
      </w:r>
    </w:p>
    <w:p w:rsidR="00AD6121" w:rsidRPr="00386C7B" w:rsidRDefault="00AD6121" w:rsidP="002A529A">
      <w:pPr>
        <w:widowControl w:val="0"/>
        <w:tabs>
          <w:tab w:val="left" w:pos="2700"/>
          <w:tab w:val="left" w:pos="5760"/>
        </w:tabs>
        <w:spacing w:after="0"/>
        <w:jc w:val="both"/>
        <w:rPr>
          <w:rFonts w:ascii="Arial" w:hAnsi="Arial" w:cs="Arial"/>
          <w:sz w:val="20"/>
          <w:szCs w:val="20"/>
        </w:rPr>
      </w:pPr>
      <w:r>
        <w:rPr>
          <w:rFonts w:ascii="Arial" w:hAnsi="Arial" w:cs="Arial"/>
          <w:sz w:val="20"/>
          <w:szCs w:val="20"/>
        </w:rPr>
        <w:t xml:space="preserve">PR Manager, </w:t>
      </w:r>
      <w:r w:rsidRPr="00386C7B">
        <w:rPr>
          <w:rFonts w:ascii="Arial" w:hAnsi="Arial" w:cs="Arial"/>
          <w:sz w:val="20"/>
          <w:szCs w:val="20"/>
        </w:rPr>
        <w:t>ING DIRECT</w:t>
      </w:r>
    </w:p>
    <w:p w:rsidR="00AD6121" w:rsidRPr="00727986" w:rsidRDefault="00AD6121" w:rsidP="002A529A">
      <w:pPr>
        <w:widowControl w:val="0"/>
        <w:tabs>
          <w:tab w:val="left" w:pos="2700"/>
          <w:tab w:val="left" w:pos="5760"/>
        </w:tabs>
        <w:spacing w:after="0"/>
        <w:jc w:val="both"/>
        <w:rPr>
          <w:rFonts w:ascii="Arial" w:hAnsi="Arial" w:cs="Arial"/>
          <w:sz w:val="20"/>
          <w:szCs w:val="20"/>
          <w:lang w:val="nl-NL"/>
        </w:rPr>
      </w:pPr>
      <w:r w:rsidRPr="00F21D42">
        <w:rPr>
          <w:rFonts w:ascii="Arial" w:hAnsi="Arial" w:cs="Arial"/>
          <w:sz w:val="20"/>
          <w:szCs w:val="20"/>
          <w:lang w:val="nl-NL"/>
        </w:rPr>
        <w:t>+61 2 9018 5160</w:t>
      </w:r>
    </w:p>
    <w:p w:rsidR="00AD6121" w:rsidRPr="00727986" w:rsidRDefault="00AD6121" w:rsidP="002A529A">
      <w:pPr>
        <w:widowControl w:val="0"/>
        <w:tabs>
          <w:tab w:val="left" w:pos="2700"/>
          <w:tab w:val="left" w:pos="5760"/>
        </w:tabs>
        <w:spacing w:after="0"/>
        <w:jc w:val="both"/>
        <w:rPr>
          <w:rFonts w:ascii="Arial" w:hAnsi="Arial" w:cs="Arial"/>
          <w:sz w:val="20"/>
          <w:szCs w:val="20"/>
          <w:lang w:val="nl-NL"/>
        </w:rPr>
      </w:pPr>
      <w:r w:rsidRPr="00F21D42">
        <w:rPr>
          <w:rFonts w:ascii="Arial" w:hAnsi="Arial" w:cs="Arial"/>
          <w:sz w:val="20"/>
          <w:szCs w:val="20"/>
          <w:lang w:val="nl-NL"/>
        </w:rPr>
        <w:t>+61 413 317 225</w:t>
      </w:r>
    </w:p>
    <w:p w:rsidR="00AD6121" w:rsidRPr="00745091" w:rsidRDefault="005D2936" w:rsidP="00F13150">
      <w:pPr>
        <w:spacing w:after="0"/>
        <w:rPr>
          <w:lang w:val="nl-NL"/>
        </w:rPr>
      </w:pPr>
      <w:hyperlink r:id="rId11" w:history="1">
        <w:r w:rsidR="00AD6121" w:rsidRPr="00F21D42">
          <w:rPr>
            <w:rStyle w:val="Hyperlink"/>
            <w:rFonts w:ascii="Arial" w:hAnsi="Arial" w:cs="Arial"/>
            <w:sz w:val="20"/>
            <w:szCs w:val="20"/>
            <w:lang w:val="nl-NL"/>
          </w:rPr>
          <w:t>caroline.thomas@ingdirect.com.au</w:t>
        </w:r>
      </w:hyperlink>
    </w:p>
    <w:p w:rsidR="00AD6121" w:rsidRPr="00CD573C" w:rsidRDefault="00AD6121" w:rsidP="00F13150">
      <w:pPr>
        <w:spacing w:after="0"/>
        <w:rPr>
          <w:rFonts w:ascii="Arial" w:hAnsi="Arial" w:cs="Arial"/>
          <w:sz w:val="20"/>
          <w:szCs w:val="20"/>
          <w:lang w:val="nl-NL"/>
        </w:rPr>
      </w:pPr>
    </w:p>
    <w:p w:rsidR="00AD6121" w:rsidRPr="00727986" w:rsidRDefault="00AD6121" w:rsidP="00F13150">
      <w:pPr>
        <w:widowControl w:val="0"/>
        <w:tabs>
          <w:tab w:val="left" w:pos="2520"/>
          <w:tab w:val="left" w:pos="5760"/>
        </w:tabs>
        <w:spacing w:after="0"/>
        <w:jc w:val="both"/>
        <w:rPr>
          <w:rFonts w:ascii="Arial" w:hAnsi="Arial" w:cs="Arial"/>
          <w:b/>
          <w:sz w:val="20"/>
          <w:szCs w:val="20"/>
          <w:lang w:val="nl-NL"/>
        </w:rPr>
      </w:pPr>
      <w:r w:rsidRPr="00F21D42">
        <w:rPr>
          <w:rFonts w:ascii="Arial" w:hAnsi="Arial" w:cs="Arial"/>
          <w:b/>
          <w:sz w:val="20"/>
          <w:szCs w:val="20"/>
          <w:lang w:val="nl-NL"/>
        </w:rPr>
        <w:t>About ING DIRECT</w:t>
      </w:r>
    </w:p>
    <w:p w:rsidR="00AD6121" w:rsidRPr="00856E85" w:rsidRDefault="00AD6121" w:rsidP="00856E85">
      <w:pPr>
        <w:spacing w:after="0" w:line="240" w:lineRule="auto"/>
        <w:rPr>
          <w:rFonts w:ascii="Arial" w:hAnsi="Arial" w:cs="Arial"/>
          <w:sz w:val="20"/>
          <w:szCs w:val="20"/>
        </w:rPr>
      </w:pPr>
      <w:r w:rsidRPr="00386C7B">
        <w:rPr>
          <w:rFonts w:ascii="Arial" w:hAnsi="Arial" w:cs="Arial"/>
          <w:sz w:val="20"/>
          <w:szCs w:val="20"/>
        </w:rPr>
        <w:t xml:space="preserve">ING DIRECT pioneered branchless banking in </w:t>
      </w:r>
      <w:smartTag w:uri="urn:schemas-microsoft-com:office:smarttags" w:element="place">
        <w:smartTag w:uri="urn:schemas-microsoft-com:office:smarttags" w:element="country-region">
          <w:r w:rsidRPr="00386C7B">
            <w:rPr>
              <w:rFonts w:ascii="Arial" w:hAnsi="Arial" w:cs="Arial"/>
              <w:sz w:val="20"/>
              <w:szCs w:val="20"/>
            </w:rPr>
            <w:t>Australia</w:t>
          </w:r>
        </w:smartTag>
      </w:smartTag>
      <w:r w:rsidRPr="00386C7B">
        <w:rPr>
          <w:rFonts w:ascii="Arial" w:hAnsi="Arial" w:cs="Arial"/>
          <w:sz w:val="20"/>
          <w:szCs w:val="20"/>
        </w:rPr>
        <w:t xml:space="preserve"> by offering the first online, high interest, fee free savings account. Our low cost operating model allows us to pass these savings on to the customer in the form of great value products and services. Today, ING DIRECT has more than 1.4 million customers with $26 billion in deposits and $38 billion in mortgages and a range of innovative products.</w:t>
      </w:r>
      <w:r>
        <w:rPr>
          <w:rFonts w:ascii="Arial" w:hAnsi="Arial" w:cs="Arial"/>
          <w:sz w:val="20"/>
          <w:szCs w:val="20"/>
        </w:rPr>
        <w:t xml:space="preserve"> </w:t>
      </w:r>
      <w:r w:rsidRPr="00386C7B">
        <w:rPr>
          <w:rFonts w:ascii="Arial" w:hAnsi="Arial" w:cs="Arial"/>
          <w:b/>
          <w:sz w:val="20"/>
          <w:szCs w:val="20"/>
        </w:rPr>
        <w:t>Please note ING DIRECT is never abbreviated to ING.</w:t>
      </w:r>
    </w:p>
    <w:sectPr w:rsidR="00AD6121" w:rsidRPr="00856E85" w:rsidSect="002F3A0E">
      <w:headerReference w:type="default" r:id="rId12"/>
      <w:pgSz w:w="11906" w:h="16838"/>
      <w:pgMar w:top="827" w:right="1440" w:bottom="709"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505" w:rsidRDefault="00DD2505" w:rsidP="001B5560">
      <w:pPr>
        <w:spacing w:after="0" w:line="240" w:lineRule="auto"/>
      </w:pPr>
      <w:r>
        <w:separator/>
      </w:r>
    </w:p>
  </w:endnote>
  <w:endnote w:type="continuationSeparator" w:id="0">
    <w:p w:rsidR="00DD2505" w:rsidRDefault="00DD2505" w:rsidP="001B5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JZDPJ+PraxisLT-Regular">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venir LT 65 Medium">
    <w:panose1 w:val="020B0603020000020003"/>
    <w:charset w:val="00"/>
    <w:family w:val="swiss"/>
    <w:pitch w:val="variable"/>
    <w:sig w:usb0="80000003" w:usb1="0000004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505" w:rsidRDefault="00DD2505" w:rsidP="001B5560">
      <w:pPr>
        <w:spacing w:after="0" w:line="240" w:lineRule="auto"/>
      </w:pPr>
      <w:r>
        <w:separator/>
      </w:r>
    </w:p>
  </w:footnote>
  <w:footnote w:type="continuationSeparator" w:id="0">
    <w:p w:rsidR="00DD2505" w:rsidRDefault="00DD2505" w:rsidP="001B5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6FB" w:rsidRDefault="003D26FB" w:rsidP="001B5560">
    <w:pPr>
      <w:pStyle w:val="Header"/>
      <w:jc w:val="right"/>
    </w:pPr>
    <w:r>
      <w:rPr>
        <w:noProof/>
        <w:lang w:eastAsia="en-AU"/>
      </w:rPr>
      <w:drawing>
        <wp:inline distT="0" distB="0" distL="0" distR="0">
          <wp:extent cx="223837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8375" cy="638175"/>
                  </a:xfrm>
                  <a:prstGeom prst="rect">
                    <a:avLst/>
                  </a:prstGeom>
                  <a:noFill/>
                  <a:ln w="9525">
                    <a:noFill/>
                    <a:miter lim="800000"/>
                    <a:headEnd/>
                    <a:tailEnd/>
                  </a:ln>
                </pic:spPr>
              </pic:pic>
            </a:graphicData>
          </a:graphic>
        </wp:inline>
      </w:drawing>
    </w:r>
  </w:p>
  <w:p w:rsidR="003D26FB" w:rsidRDefault="003D26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00100"/>
    <w:multiLevelType w:val="hybridMultilevel"/>
    <w:tmpl w:val="FC481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3B6D2B"/>
    <w:multiLevelType w:val="multilevel"/>
    <w:tmpl w:val="D08076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C5B0BF1"/>
    <w:multiLevelType w:val="hybridMultilevel"/>
    <w:tmpl w:val="B30E8E8C"/>
    <w:lvl w:ilvl="0" w:tplc="0C090001">
      <w:start w:val="1"/>
      <w:numFmt w:val="bullet"/>
      <w:lvlText w:val=""/>
      <w:lvlJc w:val="left"/>
      <w:pPr>
        <w:ind w:left="720" w:hanging="360"/>
      </w:pPr>
      <w:rPr>
        <w:rFonts w:ascii="Symbol" w:hAnsi="Symbol" w:hint="default"/>
      </w:rPr>
    </w:lvl>
    <w:lvl w:ilvl="1" w:tplc="CC86CC22">
      <w:start w:val="1"/>
      <w:numFmt w:val="bullet"/>
      <w:lvlText w:val=""/>
      <w:lvlJc w:val="left"/>
      <w:pPr>
        <w:tabs>
          <w:tab w:val="num" w:pos="1440"/>
        </w:tabs>
        <w:ind w:left="1440" w:hanging="360"/>
      </w:pPr>
      <w:rPr>
        <w:rFonts w:ascii="Symbol" w:hAnsi="Symbol" w:hint="default"/>
        <w:color w:val="auto"/>
        <w:sz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30981"/>
    <w:multiLevelType w:val="hybridMultilevel"/>
    <w:tmpl w:val="466605C4"/>
    <w:lvl w:ilvl="0" w:tplc="07801708">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70585"/>
    <w:multiLevelType w:val="hybridMultilevel"/>
    <w:tmpl w:val="0010D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1B411F9"/>
    <w:multiLevelType w:val="hybridMultilevel"/>
    <w:tmpl w:val="670A64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DE52E53"/>
    <w:multiLevelType w:val="hybridMultilevel"/>
    <w:tmpl w:val="73A4BAA4"/>
    <w:lvl w:ilvl="0" w:tplc="F09074F6">
      <w:start w:val="35"/>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FCD4E21"/>
    <w:multiLevelType w:val="hybridMultilevel"/>
    <w:tmpl w:val="21CE3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93C4606"/>
    <w:multiLevelType w:val="hybridMultilevel"/>
    <w:tmpl w:val="685E5AEE"/>
    <w:lvl w:ilvl="0" w:tplc="59DA5ED4">
      <w:start w:val="6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2"/>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60"/>
    <w:rsid w:val="00002F32"/>
    <w:rsid w:val="0000492F"/>
    <w:rsid w:val="00025581"/>
    <w:rsid w:val="00052A42"/>
    <w:rsid w:val="00054FAE"/>
    <w:rsid w:val="00066CE9"/>
    <w:rsid w:val="00081E47"/>
    <w:rsid w:val="00083EC3"/>
    <w:rsid w:val="00086B8F"/>
    <w:rsid w:val="000921DD"/>
    <w:rsid w:val="00093E6F"/>
    <w:rsid w:val="00095D35"/>
    <w:rsid w:val="00096B8A"/>
    <w:rsid w:val="000A464E"/>
    <w:rsid w:val="000A674A"/>
    <w:rsid w:val="000B6852"/>
    <w:rsid w:val="000B731A"/>
    <w:rsid w:val="000C4382"/>
    <w:rsid w:val="000C495A"/>
    <w:rsid w:val="000C721B"/>
    <w:rsid w:val="000D5137"/>
    <w:rsid w:val="000D76DD"/>
    <w:rsid w:val="000F00D0"/>
    <w:rsid w:val="000F2768"/>
    <w:rsid w:val="000F65D6"/>
    <w:rsid w:val="000F77DF"/>
    <w:rsid w:val="001143BD"/>
    <w:rsid w:val="00122ADE"/>
    <w:rsid w:val="00140740"/>
    <w:rsid w:val="001440A5"/>
    <w:rsid w:val="00151BCF"/>
    <w:rsid w:val="001619FE"/>
    <w:rsid w:val="00172A5C"/>
    <w:rsid w:val="00194891"/>
    <w:rsid w:val="001966AE"/>
    <w:rsid w:val="00196772"/>
    <w:rsid w:val="001B0812"/>
    <w:rsid w:val="001B5560"/>
    <w:rsid w:val="001B5737"/>
    <w:rsid w:val="001C2839"/>
    <w:rsid w:val="001C6C7A"/>
    <w:rsid w:val="001D68DA"/>
    <w:rsid w:val="001D68E0"/>
    <w:rsid w:val="001E0146"/>
    <w:rsid w:val="001F4750"/>
    <w:rsid w:val="001F6157"/>
    <w:rsid w:val="001F6EE0"/>
    <w:rsid w:val="002514B5"/>
    <w:rsid w:val="00251D94"/>
    <w:rsid w:val="00253D0A"/>
    <w:rsid w:val="00254C38"/>
    <w:rsid w:val="0025620C"/>
    <w:rsid w:val="002565E1"/>
    <w:rsid w:val="002658A0"/>
    <w:rsid w:val="002659E5"/>
    <w:rsid w:val="0027129E"/>
    <w:rsid w:val="00296A69"/>
    <w:rsid w:val="002A05C2"/>
    <w:rsid w:val="002A529A"/>
    <w:rsid w:val="002C160A"/>
    <w:rsid w:val="002C61A9"/>
    <w:rsid w:val="002E3812"/>
    <w:rsid w:val="002E3FCB"/>
    <w:rsid w:val="002F2993"/>
    <w:rsid w:val="002F3A0E"/>
    <w:rsid w:val="00316110"/>
    <w:rsid w:val="003215FC"/>
    <w:rsid w:val="00334067"/>
    <w:rsid w:val="003525E3"/>
    <w:rsid w:val="00352A97"/>
    <w:rsid w:val="00361BC0"/>
    <w:rsid w:val="0037413D"/>
    <w:rsid w:val="0038484B"/>
    <w:rsid w:val="00386C7B"/>
    <w:rsid w:val="003A1A8D"/>
    <w:rsid w:val="003D26FB"/>
    <w:rsid w:val="003D2E5F"/>
    <w:rsid w:val="003D5350"/>
    <w:rsid w:val="003E70FD"/>
    <w:rsid w:val="003F5867"/>
    <w:rsid w:val="0040027B"/>
    <w:rsid w:val="004031DB"/>
    <w:rsid w:val="00412088"/>
    <w:rsid w:val="00413EF4"/>
    <w:rsid w:val="00414F59"/>
    <w:rsid w:val="004210F7"/>
    <w:rsid w:val="00436BB6"/>
    <w:rsid w:val="00442634"/>
    <w:rsid w:val="00446A14"/>
    <w:rsid w:val="004B43C3"/>
    <w:rsid w:val="004B60D1"/>
    <w:rsid w:val="004D052E"/>
    <w:rsid w:val="004D0615"/>
    <w:rsid w:val="004D3280"/>
    <w:rsid w:val="004F026C"/>
    <w:rsid w:val="004F27C7"/>
    <w:rsid w:val="0052131D"/>
    <w:rsid w:val="005233A2"/>
    <w:rsid w:val="005318C6"/>
    <w:rsid w:val="00537C7A"/>
    <w:rsid w:val="005441DC"/>
    <w:rsid w:val="00547B7E"/>
    <w:rsid w:val="005547A3"/>
    <w:rsid w:val="00567120"/>
    <w:rsid w:val="005770C6"/>
    <w:rsid w:val="00583A63"/>
    <w:rsid w:val="005B3585"/>
    <w:rsid w:val="005B50FE"/>
    <w:rsid w:val="005D0417"/>
    <w:rsid w:val="005D0C0E"/>
    <w:rsid w:val="005D2936"/>
    <w:rsid w:val="005E0A2E"/>
    <w:rsid w:val="005E3E1A"/>
    <w:rsid w:val="005F218D"/>
    <w:rsid w:val="00605BD3"/>
    <w:rsid w:val="00606A74"/>
    <w:rsid w:val="006110C5"/>
    <w:rsid w:val="0061676A"/>
    <w:rsid w:val="0063351D"/>
    <w:rsid w:val="00644B93"/>
    <w:rsid w:val="006458DB"/>
    <w:rsid w:val="00660AAB"/>
    <w:rsid w:val="0066577D"/>
    <w:rsid w:val="00682B63"/>
    <w:rsid w:val="006844F8"/>
    <w:rsid w:val="006A2420"/>
    <w:rsid w:val="006B3609"/>
    <w:rsid w:val="006C1C8C"/>
    <w:rsid w:val="006C5057"/>
    <w:rsid w:val="006E1F85"/>
    <w:rsid w:val="006E4DDE"/>
    <w:rsid w:val="006E58BE"/>
    <w:rsid w:val="006E59A4"/>
    <w:rsid w:val="007036CE"/>
    <w:rsid w:val="007074EE"/>
    <w:rsid w:val="0071296E"/>
    <w:rsid w:val="00727986"/>
    <w:rsid w:val="00740945"/>
    <w:rsid w:val="00745091"/>
    <w:rsid w:val="00773D27"/>
    <w:rsid w:val="00773F6C"/>
    <w:rsid w:val="00785699"/>
    <w:rsid w:val="007917DF"/>
    <w:rsid w:val="00797F70"/>
    <w:rsid w:val="007A519A"/>
    <w:rsid w:val="007A5F54"/>
    <w:rsid w:val="007C63A9"/>
    <w:rsid w:val="007C79EE"/>
    <w:rsid w:val="007E1BED"/>
    <w:rsid w:val="007F4263"/>
    <w:rsid w:val="00804E3F"/>
    <w:rsid w:val="00813402"/>
    <w:rsid w:val="00821A04"/>
    <w:rsid w:val="00823C8D"/>
    <w:rsid w:val="00827397"/>
    <w:rsid w:val="00840DCA"/>
    <w:rsid w:val="0085025D"/>
    <w:rsid w:val="00853FD3"/>
    <w:rsid w:val="0085653E"/>
    <w:rsid w:val="00856E84"/>
    <w:rsid w:val="00856E85"/>
    <w:rsid w:val="00863F96"/>
    <w:rsid w:val="00867225"/>
    <w:rsid w:val="008707A8"/>
    <w:rsid w:val="00874528"/>
    <w:rsid w:val="00881F60"/>
    <w:rsid w:val="00893AB2"/>
    <w:rsid w:val="008A04F7"/>
    <w:rsid w:val="008A2926"/>
    <w:rsid w:val="008C7D01"/>
    <w:rsid w:val="008D62C1"/>
    <w:rsid w:val="008D7ACB"/>
    <w:rsid w:val="00905A95"/>
    <w:rsid w:val="00907AF6"/>
    <w:rsid w:val="00924328"/>
    <w:rsid w:val="00925162"/>
    <w:rsid w:val="009268A7"/>
    <w:rsid w:val="00934874"/>
    <w:rsid w:val="009400B5"/>
    <w:rsid w:val="009435FA"/>
    <w:rsid w:val="00943C5F"/>
    <w:rsid w:val="0094496B"/>
    <w:rsid w:val="00956E23"/>
    <w:rsid w:val="0097232E"/>
    <w:rsid w:val="009914EF"/>
    <w:rsid w:val="009A040E"/>
    <w:rsid w:val="009A3A8B"/>
    <w:rsid w:val="009C3171"/>
    <w:rsid w:val="009C3DC4"/>
    <w:rsid w:val="009D11E3"/>
    <w:rsid w:val="009E6232"/>
    <w:rsid w:val="009F3990"/>
    <w:rsid w:val="00A0655E"/>
    <w:rsid w:val="00A23744"/>
    <w:rsid w:val="00A248FD"/>
    <w:rsid w:val="00A32FD0"/>
    <w:rsid w:val="00A43FB7"/>
    <w:rsid w:val="00A4537B"/>
    <w:rsid w:val="00A52ACF"/>
    <w:rsid w:val="00A52BCB"/>
    <w:rsid w:val="00A92F8B"/>
    <w:rsid w:val="00AA29B8"/>
    <w:rsid w:val="00AB1A61"/>
    <w:rsid w:val="00AC6019"/>
    <w:rsid w:val="00AD0DFB"/>
    <w:rsid w:val="00AD6121"/>
    <w:rsid w:val="00AF4E41"/>
    <w:rsid w:val="00B37ECB"/>
    <w:rsid w:val="00B44F84"/>
    <w:rsid w:val="00B61822"/>
    <w:rsid w:val="00B623A1"/>
    <w:rsid w:val="00B65EED"/>
    <w:rsid w:val="00B674CF"/>
    <w:rsid w:val="00B740D9"/>
    <w:rsid w:val="00B77B81"/>
    <w:rsid w:val="00B837AA"/>
    <w:rsid w:val="00B97348"/>
    <w:rsid w:val="00BB77D5"/>
    <w:rsid w:val="00BC2EF9"/>
    <w:rsid w:val="00BD4A7B"/>
    <w:rsid w:val="00BD4F12"/>
    <w:rsid w:val="00BD5B89"/>
    <w:rsid w:val="00BF1D5E"/>
    <w:rsid w:val="00C00D96"/>
    <w:rsid w:val="00C06DAB"/>
    <w:rsid w:val="00C2051E"/>
    <w:rsid w:val="00C24125"/>
    <w:rsid w:val="00C32BCA"/>
    <w:rsid w:val="00C43D9A"/>
    <w:rsid w:val="00C67533"/>
    <w:rsid w:val="00C8382F"/>
    <w:rsid w:val="00C900AD"/>
    <w:rsid w:val="00C9767D"/>
    <w:rsid w:val="00CA4457"/>
    <w:rsid w:val="00CB5361"/>
    <w:rsid w:val="00CC3388"/>
    <w:rsid w:val="00CC4A2A"/>
    <w:rsid w:val="00CC79B0"/>
    <w:rsid w:val="00CD573C"/>
    <w:rsid w:val="00CE201A"/>
    <w:rsid w:val="00CE6868"/>
    <w:rsid w:val="00CF2215"/>
    <w:rsid w:val="00CF2E8E"/>
    <w:rsid w:val="00D03797"/>
    <w:rsid w:val="00D07980"/>
    <w:rsid w:val="00D638CE"/>
    <w:rsid w:val="00D7159E"/>
    <w:rsid w:val="00D7568C"/>
    <w:rsid w:val="00D76D21"/>
    <w:rsid w:val="00D77831"/>
    <w:rsid w:val="00DB7DF5"/>
    <w:rsid w:val="00DC4366"/>
    <w:rsid w:val="00DD2505"/>
    <w:rsid w:val="00DD6EA9"/>
    <w:rsid w:val="00DD7F6B"/>
    <w:rsid w:val="00DE1D11"/>
    <w:rsid w:val="00DE76BC"/>
    <w:rsid w:val="00DF16A7"/>
    <w:rsid w:val="00E002AB"/>
    <w:rsid w:val="00E02DCA"/>
    <w:rsid w:val="00E0576C"/>
    <w:rsid w:val="00E10383"/>
    <w:rsid w:val="00E10A73"/>
    <w:rsid w:val="00E12062"/>
    <w:rsid w:val="00E12FE8"/>
    <w:rsid w:val="00E15322"/>
    <w:rsid w:val="00E16F4B"/>
    <w:rsid w:val="00E27DA9"/>
    <w:rsid w:val="00E32079"/>
    <w:rsid w:val="00E40F49"/>
    <w:rsid w:val="00E570DC"/>
    <w:rsid w:val="00E626D6"/>
    <w:rsid w:val="00E6566B"/>
    <w:rsid w:val="00E70FBA"/>
    <w:rsid w:val="00E7144B"/>
    <w:rsid w:val="00E85642"/>
    <w:rsid w:val="00EB361B"/>
    <w:rsid w:val="00EB48D3"/>
    <w:rsid w:val="00EB7D6C"/>
    <w:rsid w:val="00EC0F20"/>
    <w:rsid w:val="00EF182C"/>
    <w:rsid w:val="00F13150"/>
    <w:rsid w:val="00F213B9"/>
    <w:rsid w:val="00F21D42"/>
    <w:rsid w:val="00F24D72"/>
    <w:rsid w:val="00F27777"/>
    <w:rsid w:val="00F337E9"/>
    <w:rsid w:val="00F73DF6"/>
    <w:rsid w:val="00F90BA5"/>
    <w:rsid w:val="00F96066"/>
    <w:rsid w:val="00FA6C44"/>
    <w:rsid w:val="00FC550F"/>
    <w:rsid w:val="00FE2292"/>
    <w:rsid w:val="00FE4292"/>
    <w:rsid w:val="00FE61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5560"/>
    <w:rPr>
      <w:rFonts w:cs="Times New Roman"/>
      <w:color w:val="0000FF"/>
      <w:u w:val="single"/>
    </w:rPr>
  </w:style>
  <w:style w:type="paragraph" w:styleId="Header">
    <w:name w:val="header"/>
    <w:basedOn w:val="Normal"/>
    <w:link w:val="HeaderChar"/>
    <w:uiPriority w:val="99"/>
    <w:semiHidden/>
    <w:rsid w:val="001B5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B5560"/>
    <w:rPr>
      <w:rFonts w:cs="Times New Roman"/>
    </w:rPr>
  </w:style>
  <w:style w:type="paragraph" w:styleId="Footer">
    <w:name w:val="footer"/>
    <w:basedOn w:val="Normal"/>
    <w:link w:val="FooterChar"/>
    <w:uiPriority w:val="99"/>
    <w:semiHidden/>
    <w:rsid w:val="001B5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B5560"/>
    <w:rPr>
      <w:rFonts w:cs="Times New Roman"/>
    </w:rPr>
  </w:style>
  <w:style w:type="paragraph" w:styleId="BalloonText">
    <w:name w:val="Balloon Text"/>
    <w:basedOn w:val="Normal"/>
    <w:link w:val="BalloonTextChar"/>
    <w:uiPriority w:val="99"/>
    <w:semiHidden/>
    <w:rsid w:val="001B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560"/>
    <w:rPr>
      <w:rFonts w:ascii="Tahoma" w:hAnsi="Tahoma" w:cs="Tahoma"/>
      <w:sz w:val="16"/>
      <w:szCs w:val="16"/>
    </w:rPr>
  </w:style>
  <w:style w:type="paragraph" w:styleId="ListParagraph">
    <w:name w:val="List Paragraph"/>
    <w:basedOn w:val="Normal"/>
    <w:uiPriority w:val="99"/>
    <w:qFormat/>
    <w:rsid w:val="001B5560"/>
    <w:pPr>
      <w:ind w:left="720"/>
      <w:contextualSpacing/>
    </w:pPr>
  </w:style>
  <w:style w:type="paragraph" w:customStyle="1" w:styleId="Default">
    <w:name w:val="Default"/>
    <w:uiPriority w:val="99"/>
    <w:rsid w:val="00F13150"/>
    <w:pPr>
      <w:autoSpaceDE w:val="0"/>
      <w:autoSpaceDN w:val="0"/>
      <w:adjustRightInd w:val="0"/>
    </w:pPr>
    <w:rPr>
      <w:rFonts w:ascii="WJZDPJ+PraxisLT-Regular" w:hAnsi="WJZDPJ+PraxisLT-Regular" w:cs="WJZDPJ+PraxisLT-Regular"/>
      <w:color w:val="000000"/>
      <w:sz w:val="24"/>
      <w:szCs w:val="24"/>
      <w:lang w:val="en-US" w:eastAsia="en-US"/>
    </w:rPr>
  </w:style>
  <w:style w:type="character" w:styleId="Strong">
    <w:name w:val="Strong"/>
    <w:basedOn w:val="DefaultParagraphFont"/>
    <w:uiPriority w:val="99"/>
    <w:qFormat/>
    <w:rsid w:val="00F13150"/>
    <w:rPr>
      <w:rFonts w:cs="Times New Roman"/>
      <w:b/>
    </w:rPr>
  </w:style>
  <w:style w:type="paragraph" w:customStyle="1" w:styleId="netappbody">
    <w:name w:val="netapp_body"/>
    <w:uiPriority w:val="99"/>
    <w:rsid w:val="00F13150"/>
    <w:pPr>
      <w:spacing w:line="260" w:lineRule="exact"/>
    </w:pPr>
    <w:rPr>
      <w:rFonts w:ascii="Arial" w:eastAsia="Times New Roman" w:hAnsi="Arial" w:cs="Arial"/>
      <w:color w:val="000000"/>
      <w:sz w:val="20"/>
      <w:szCs w:val="20"/>
      <w:lang w:val="en-US" w:eastAsia="en-US"/>
    </w:rPr>
  </w:style>
  <w:style w:type="character" w:styleId="CommentReference">
    <w:name w:val="annotation reference"/>
    <w:basedOn w:val="DefaultParagraphFont"/>
    <w:uiPriority w:val="99"/>
    <w:semiHidden/>
    <w:rsid w:val="00F13150"/>
    <w:rPr>
      <w:rFonts w:cs="Times New Roman"/>
      <w:sz w:val="16"/>
      <w:szCs w:val="16"/>
    </w:rPr>
  </w:style>
  <w:style w:type="paragraph" w:styleId="CommentText">
    <w:name w:val="annotation text"/>
    <w:basedOn w:val="Normal"/>
    <w:link w:val="CommentTextChar"/>
    <w:uiPriority w:val="99"/>
    <w:semiHidden/>
    <w:rsid w:val="00F13150"/>
    <w:pPr>
      <w:spacing w:after="120" w:line="240" w:lineRule="auto"/>
    </w:pPr>
    <w:rPr>
      <w:rFonts w:ascii="Times New Roman" w:eastAsia="MS Mincho" w:hAnsi="Times New Roman"/>
      <w:kern w:val="2"/>
      <w:sz w:val="20"/>
      <w:szCs w:val="20"/>
      <w:lang w:eastAsia="ja-JP"/>
    </w:rPr>
  </w:style>
  <w:style w:type="character" w:customStyle="1" w:styleId="CommentTextChar">
    <w:name w:val="Comment Text Char"/>
    <w:basedOn w:val="DefaultParagraphFont"/>
    <w:link w:val="CommentText"/>
    <w:uiPriority w:val="99"/>
    <w:semiHidden/>
    <w:locked/>
    <w:rsid w:val="00F13150"/>
    <w:rPr>
      <w:rFonts w:ascii="Times New Roman" w:eastAsia="MS Mincho" w:hAnsi="Times New Roman" w:cs="Times New Roman"/>
      <w:snapToGrid w:val="0"/>
      <w:kern w:val="2"/>
      <w:sz w:val="20"/>
      <w:szCs w:val="20"/>
      <w:lang w:eastAsia="ja-JP"/>
    </w:rPr>
  </w:style>
  <w:style w:type="paragraph" w:customStyle="1" w:styleId="Body">
    <w:name w:val="Body"/>
    <w:link w:val="BodyChar"/>
    <w:uiPriority w:val="99"/>
    <w:rsid w:val="00F1315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rPr>
  </w:style>
  <w:style w:type="character" w:customStyle="1" w:styleId="BodyChar">
    <w:name w:val="Body Char"/>
    <w:link w:val="Body"/>
    <w:uiPriority w:val="99"/>
    <w:locked/>
    <w:rsid w:val="00F13150"/>
    <w:rPr>
      <w:rFonts w:ascii="Arial" w:hAnsi="Arial"/>
      <w:color w:val="000000"/>
      <w:sz w:val="22"/>
      <w:lang w:eastAsia="en-AU"/>
    </w:rPr>
  </w:style>
  <w:style w:type="paragraph" w:styleId="CommentSubject">
    <w:name w:val="annotation subject"/>
    <w:basedOn w:val="CommentText"/>
    <w:next w:val="CommentText"/>
    <w:link w:val="CommentSubjectChar"/>
    <w:uiPriority w:val="99"/>
    <w:semiHidden/>
    <w:rsid w:val="002A529A"/>
    <w:pPr>
      <w:spacing w:after="200" w:line="276" w:lineRule="auto"/>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locked/>
    <w:rsid w:val="002A529A"/>
    <w:rPr>
      <w:rFonts w:ascii="Times New Roman" w:eastAsia="MS Mincho" w:hAnsi="Times New Roman" w:cs="Times New Roman"/>
      <w:b/>
      <w:bCs/>
      <w:snapToGrid w:val="0"/>
      <w:kern w:val="2"/>
      <w:sz w:val="20"/>
      <w:szCs w:val="20"/>
      <w:lang w:eastAsia="en-US"/>
    </w:rPr>
  </w:style>
  <w:style w:type="paragraph" w:styleId="NormalWeb">
    <w:name w:val="Normal (Web)"/>
    <w:basedOn w:val="Normal"/>
    <w:uiPriority w:val="99"/>
    <w:rsid w:val="00352A97"/>
    <w:pPr>
      <w:spacing w:before="100" w:beforeAutospacing="1" w:after="100" w:afterAutospacing="1" w:line="240" w:lineRule="auto"/>
    </w:pPr>
    <w:rPr>
      <w:rFonts w:ascii="Times New Roman" w:hAnsi="Times New Roman"/>
      <w:sz w:val="24"/>
      <w:szCs w:val="24"/>
      <w:lang w:eastAsia="en-AU"/>
    </w:rPr>
  </w:style>
  <w:style w:type="character" w:customStyle="1" w:styleId="s21">
    <w:name w:val="s21"/>
    <w:basedOn w:val="DefaultParagraphFont"/>
    <w:uiPriority w:val="99"/>
    <w:rsid w:val="0063351D"/>
    <w:rPr>
      <w:rFonts w:cs="Times New Roman"/>
    </w:rPr>
  </w:style>
  <w:style w:type="character" w:customStyle="1" w:styleId="apple-converted-space">
    <w:name w:val="apple-converted-space"/>
    <w:basedOn w:val="DefaultParagraphFont"/>
    <w:uiPriority w:val="99"/>
    <w:rsid w:val="0063351D"/>
    <w:rPr>
      <w:rFonts w:cs="Times New Roman"/>
    </w:rPr>
  </w:style>
  <w:style w:type="character" w:customStyle="1" w:styleId="orange">
    <w:name w:val="orange"/>
    <w:basedOn w:val="DefaultParagraphFont"/>
    <w:uiPriority w:val="99"/>
    <w:rsid w:val="0063351D"/>
    <w:rPr>
      <w:rFonts w:cs="Times New Roman"/>
    </w:rPr>
  </w:style>
  <w:style w:type="paragraph" w:customStyle="1" w:styleId="BasicParagraph">
    <w:name w:val="[Basic Paragraph]"/>
    <w:basedOn w:val="Normal"/>
    <w:uiPriority w:val="99"/>
    <w:rsid w:val="002F3A0E"/>
    <w:pPr>
      <w:autoSpaceDE w:val="0"/>
      <w:autoSpaceDN w:val="0"/>
      <w:adjustRightInd w:val="0"/>
      <w:spacing w:after="0" w:line="288" w:lineRule="auto"/>
      <w:textAlignment w:val="center"/>
    </w:pPr>
    <w:rPr>
      <w:rFonts w:ascii="Avenir LT 65 Medium" w:hAnsi="Avenir LT 65 Medium" w:cs="Avenir LT 65 Medium"/>
      <w:color w:val="000000"/>
      <w:sz w:val="28"/>
      <w:szCs w:val="28"/>
      <w:lang w:val="en-GB" w:eastAsia="en-AU"/>
    </w:rPr>
  </w:style>
  <w:style w:type="table" w:styleId="TableGrid">
    <w:name w:val="Table Grid"/>
    <w:basedOn w:val="TableNormal"/>
    <w:locked/>
    <w:rsid w:val="00E10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E1038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s12">
    <w:name w:val="s12"/>
    <w:basedOn w:val="Normal"/>
    <w:rsid w:val="00AF4E41"/>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s14">
    <w:name w:val="s14"/>
    <w:basedOn w:val="DefaultParagraphFont"/>
    <w:rsid w:val="00AF4E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A6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5560"/>
    <w:rPr>
      <w:rFonts w:cs="Times New Roman"/>
      <w:color w:val="0000FF"/>
      <w:u w:val="single"/>
    </w:rPr>
  </w:style>
  <w:style w:type="paragraph" w:styleId="Header">
    <w:name w:val="header"/>
    <w:basedOn w:val="Normal"/>
    <w:link w:val="HeaderChar"/>
    <w:uiPriority w:val="99"/>
    <w:semiHidden/>
    <w:rsid w:val="001B556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B5560"/>
    <w:rPr>
      <w:rFonts w:cs="Times New Roman"/>
    </w:rPr>
  </w:style>
  <w:style w:type="paragraph" w:styleId="Footer">
    <w:name w:val="footer"/>
    <w:basedOn w:val="Normal"/>
    <w:link w:val="FooterChar"/>
    <w:uiPriority w:val="99"/>
    <w:semiHidden/>
    <w:rsid w:val="001B556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1B5560"/>
    <w:rPr>
      <w:rFonts w:cs="Times New Roman"/>
    </w:rPr>
  </w:style>
  <w:style w:type="paragraph" w:styleId="BalloonText">
    <w:name w:val="Balloon Text"/>
    <w:basedOn w:val="Normal"/>
    <w:link w:val="BalloonTextChar"/>
    <w:uiPriority w:val="99"/>
    <w:semiHidden/>
    <w:rsid w:val="001B5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5560"/>
    <w:rPr>
      <w:rFonts w:ascii="Tahoma" w:hAnsi="Tahoma" w:cs="Tahoma"/>
      <w:sz w:val="16"/>
      <w:szCs w:val="16"/>
    </w:rPr>
  </w:style>
  <w:style w:type="paragraph" w:styleId="ListParagraph">
    <w:name w:val="List Paragraph"/>
    <w:basedOn w:val="Normal"/>
    <w:uiPriority w:val="99"/>
    <w:qFormat/>
    <w:rsid w:val="001B5560"/>
    <w:pPr>
      <w:ind w:left="720"/>
      <w:contextualSpacing/>
    </w:pPr>
  </w:style>
  <w:style w:type="paragraph" w:customStyle="1" w:styleId="Default">
    <w:name w:val="Default"/>
    <w:uiPriority w:val="99"/>
    <w:rsid w:val="00F13150"/>
    <w:pPr>
      <w:autoSpaceDE w:val="0"/>
      <w:autoSpaceDN w:val="0"/>
      <w:adjustRightInd w:val="0"/>
    </w:pPr>
    <w:rPr>
      <w:rFonts w:ascii="WJZDPJ+PraxisLT-Regular" w:hAnsi="WJZDPJ+PraxisLT-Regular" w:cs="WJZDPJ+PraxisLT-Regular"/>
      <w:color w:val="000000"/>
      <w:sz w:val="24"/>
      <w:szCs w:val="24"/>
      <w:lang w:val="en-US" w:eastAsia="en-US"/>
    </w:rPr>
  </w:style>
  <w:style w:type="character" w:styleId="Strong">
    <w:name w:val="Strong"/>
    <w:basedOn w:val="DefaultParagraphFont"/>
    <w:uiPriority w:val="99"/>
    <w:qFormat/>
    <w:rsid w:val="00F13150"/>
    <w:rPr>
      <w:rFonts w:cs="Times New Roman"/>
      <w:b/>
    </w:rPr>
  </w:style>
  <w:style w:type="paragraph" w:customStyle="1" w:styleId="netappbody">
    <w:name w:val="netapp_body"/>
    <w:uiPriority w:val="99"/>
    <w:rsid w:val="00F13150"/>
    <w:pPr>
      <w:spacing w:line="260" w:lineRule="exact"/>
    </w:pPr>
    <w:rPr>
      <w:rFonts w:ascii="Arial" w:eastAsia="Times New Roman" w:hAnsi="Arial" w:cs="Arial"/>
      <w:color w:val="000000"/>
      <w:sz w:val="20"/>
      <w:szCs w:val="20"/>
      <w:lang w:val="en-US" w:eastAsia="en-US"/>
    </w:rPr>
  </w:style>
  <w:style w:type="character" w:styleId="CommentReference">
    <w:name w:val="annotation reference"/>
    <w:basedOn w:val="DefaultParagraphFont"/>
    <w:uiPriority w:val="99"/>
    <w:semiHidden/>
    <w:rsid w:val="00F13150"/>
    <w:rPr>
      <w:rFonts w:cs="Times New Roman"/>
      <w:sz w:val="16"/>
      <w:szCs w:val="16"/>
    </w:rPr>
  </w:style>
  <w:style w:type="paragraph" w:styleId="CommentText">
    <w:name w:val="annotation text"/>
    <w:basedOn w:val="Normal"/>
    <w:link w:val="CommentTextChar"/>
    <w:uiPriority w:val="99"/>
    <w:semiHidden/>
    <w:rsid w:val="00F13150"/>
    <w:pPr>
      <w:spacing w:after="120" w:line="240" w:lineRule="auto"/>
    </w:pPr>
    <w:rPr>
      <w:rFonts w:ascii="Times New Roman" w:eastAsia="MS Mincho" w:hAnsi="Times New Roman"/>
      <w:kern w:val="2"/>
      <w:sz w:val="20"/>
      <w:szCs w:val="20"/>
      <w:lang w:eastAsia="ja-JP"/>
    </w:rPr>
  </w:style>
  <w:style w:type="character" w:customStyle="1" w:styleId="CommentTextChar">
    <w:name w:val="Comment Text Char"/>
    <w:basedOn w:val="DefaultParagraphFont"/>
    <w:link w:val="CommentText"/>
    <w:uiPriority w:val="99"/>
    <w:semiHidden/>
    <w:locked/>
    <w:rsid w:val="00F13150"/>
    <w:rPr>
      <w:rFonts w:ascii="Times New Roman" w:eastAsia="MS Mincho" w:hAnsi="Times New Roman" w:cs="Times New Roman"/>
      <w:snapToGrid w:val="0"/>
      <w:kern w:val="2"/>
      <w:sz w:val="20"/>
      <w:szCs w:val="20"/>
      <w:lang w:eastAsia="ja-JP"/>
    </w:rPr>
  </w:style>
  <w:style w:type="paragraph" w:customStyle="1" w:styleId="Body">
    <w:name w:val="Body"/>
    <w:link w:val="BodyChar"/>
    <w:uiPriority w:val="99"/>
    <w:rsid w:val="00F13150"/>
    <w:pPr>
      <w:tabs>
        <w:tab w:val="left" w:pos="720"/>
        <w:tab w:val="left" w:pos="1440"/>
        <w:tab w:val="left" w:pos="2160"/>
        <w:tab w:val="left" w:pos="2880"/>
        <w:tab w:val="left" w:pos="3600"/>
        <w:tab w:val="left" w:pos="4320"/>
        <w:tab w:val="left" w:pos="5040"/>
        <w:tab w:val="left" w:pos="5840"/>
        <w:tab w:val="left" w:pos="6480"/>
        <w:tab w:val="left" w:pos="7200"/>
        <w:tab w:val="left" w:pos="7920"/>
      </w:tabs>
      <w:spacing w:after="140" w:line="280" w:lineRule="atLeast"/>
    </w:pPr>
    <w:rPr>
      <w:rFonts w:ascii="Arial" w:hAnsi="Arial"/>
      <w:color w:val="000000"/>
    </w:rPr>
  </w:style>
  <w:style w:type="character" w:customStyle="1" w:styleId="BodyChar">
    <w:name w:val="Body Char"/>
    <w:link w:val="Body"/>
    <w:uiPriority w:val="99"/>
    <w:locked/>
    <w:rsid w:val="00F13150"/>
    <w:rPr>
      <w:rFonts w:ascii="Arial" w:hAnsi="Arial"/>
      <w:color w:val="000000"/>
      <w:sz w:val="22"/>
      <w:lang w:eastAsia="en-AU"/>
    </w:rPr>
  </w:style>
  <w:style w:type="paragraph" w:styleId="CommentSubject">
    <w:name w:val="annotation subject"/>
    <w:basedOn w:val="CommentText"/>
    <w:next w:val="CommentText"/>
    <w:link w:val="CommentSubjectChar"/>
    <w:uiPriority w:val="99"/>
    <w:semiHidden/>
    <w:rsid w:val="002A529A"/>
    <w:pPr>
      <w:spacing w:after="200" w:line="276" w:lineRule="auto"/>
    </w:pPr>
    <w:rPr>
      <w:rFonts w:ascii="Calibri" w:eastAsia="Calibri" w:hAnsi="Calibri"/>
      <w:b/>
      <w:bCs/>
      <w:kern w:val="0"/>
      <w:lang w:eastAsia="en-US"/>
    </w:rPr>
  </w:style>
  <w:style w:type="character" w:customStyle="1" w:styleId="CommentSubjectChar">
    <w:name w:val="Comment Subject Char"/>
    <w:basedOn w:val="CommentTextChar"/>
    <w:link w:val="CommentSubject"/>
    <w:uiPriority w:val="99"/>
    <w:semiHidden/>
    <w:locked/>
    <w:rsid w:val="002A529A"/>
    <w:rPr>
      <w:rFonts w:ascii="Times New Roman" w:eastAsia="MS Mincho" w:hAnsi="Times New Roman" w:cs="Times New Roman"/>
      <w:b/>
      <w:bCs/>
      <w:snapToGrid w:val="0"/>
      <w:kern w:val="2"/>
      <w:sz w:val="20"/>
      <w:szCs w:val="20"/>
      <w:lang w:eastAsia="en-US"/>
    </w:rPr>
  </w:style>
  <w:style w:type="paragraph" w:styleId="NormalWeb">
    <w:name w:val="Normal (Web)"/>
    <w:basedOn w:val="Normal"/>
    <w:uiPriority w:val="99"/>
    <w:rsid w:val="00352A97"/>
    <w:pPr>
      <w:spacing w:before="100" w:beforeAutospacing="1" w:after="100" w:afterAutospacing="1" w:line="240" w:lineRule="auto"/>
    </w:pPr>
    <w:rPr>
      <w:rFonts w:ascii="Times New Roman" w:hAnsi="Times New Roman"/>
      <w:sz w:val="24"/>
      <w:szCs w:val="24"/>
      <w:lang w:eastAsia="en-AU"/>
    </w:rPr>
  </w:style>
  <w:style w:type="character" w:customStyle="1" w:styleId="s21">
    <w:name w:val="s21"/>
    <w:basedOn w:val="DefaultParagraphFont"/>
    <w:uiPriority w:val="99"/>
    <w:rsid w:val="0063351D"/>
    <w:rPr>
      <w:rFonts w:cs="Times New Roman"/>
    </w:rPr>
  </w:style>
  <w:style w:type="character" w:customStyle="1" w:styleId="apple-converted-space">
    <w:name w:val="apple-converted-space"/>
    <w:basedOn w:val="DefaultParagraphFont"/>
    <w:uiPriority w:val="99"/>
    <w:rsid w:val="0063351D"/>
    <w:rPr>
      <w:rFonts w:cs="Times New Roman"/>
    </w:rPr>
  </w:style>
  <w:style w:type="character" w:customStyle="1" w:styleId="orange">
    <w:name w:val="orange"/>
    <w:basedOn w:val="DefaultParagraphFont"/>
    <w:uiPriority w:val="99"/>
    <w:rsid w:val="0063351D"/>
    <w:rPr>
      <w:rFonts w:cs="Times New Roman"/>
    </w:rPr>
  </w:style>
  <w:style w:type="paragraph" w:customStyle="1" w:styleId="BasicParagraph">
    <w:name w:val="[Basic Paragraph]"/>
    <w:basedOn w:val="Normal"/>
    <w:uiPriority w:val="99"/>
    <w:rsid w:val="002F3A0E"/>
    <w:pPr>
      <w:autoSpaceDE w:val="0"/>
      <w:autoSpaceDN w:val="0"/>
      <w:adjustRightInd w:val="0"/>
      <w:spacing w:after="0" w:line="288" w:lineRule="auto"/>
      <w:textAlignment w:val="center"/>
    </w:pPr>
    <w:rPr>
      <w:rFonts w:ascii="Avenir LT 65 Medium" w:hAnsi="Avenir LT 65 Medium" w:cs="Avenir LT 65 Medium"/>
      <w:color w:val="000000"/>
      <w:sz w:val="28"/>
      <w:szCs w:val="28"/>
      <w:lang w:val="en-GB" w:eastAsia="en-AU"/>
    </w:rPr>
  </w:style>
  <w:style w:type="table" w:styleId="TableGrid">
    <w:name w:val="Table Grid"/>
    <w:basedOn w:val="TableNormal"/>
    <w:locked/>
    <w:rsid w:val="00E103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6">
    <w:name w:val="Light List Accent 6"/>
    <w:basedOn w:val="TableNormal"/>
    <w:uiPriority w:val="61"/>
    <w:rsid w:val="00E1038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s12">
    <w:name w:val="s12"/>
    <w:basedOn w:val="Normal"/>
    <w:rsid w:val="00AF4E41"/>
    <w:pPr>
      <w:spacing w:before="100" w:beforeAutospacing="1" w:after="100" w:afterAutospacing="1" w:line="240" w:lineRule="auto"/>
    </w:pPr>
    <w:rPr>
      <w:rFonts w:ascii="Times New Roman" w:eastAsiaTheme="minorHAnsi" w:hAnsi="Times New Roman"/>
      <w:sz w:val="24"/>
      <w:szCs w:val="24"/>
      <w:lang w:eastAsia="en-AU"/>
    </w:rPr>
  </w:style>
  <w:style w:type="character" w:customStyle="1" w:styleId="s14">
    <w:name w:val="s14"/>
    <w:basedOn w:val="DefaultParagraphFont"/>
    <w:rsid w:val="00AF4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569824">
      <w:bodyDiv w:val="1"/>
      <w:marLeft w:val="0"/>
      <w:marRight w:val="0"/>
      <w:marTop w:val="0"/>
      <w:marBottom w:val="0"/>
      <w:divBdr>
        <w:top w:val="none" w:sz="0" w:space="0" w:color="auto"/>
        <w:left w:val="none" w:sz="0" w:space="0" w:color="auto"/>
        <w:bottom w:val="none" w:sz="0" w:space="0" w:color="auto"/>
        <w:right w:val="none" w:sz="0" w:space="0" w:color="auto"/>
      </w:divBdr>
    </w:div>
    <w:div w:id="324358063">
      <w:bodyDiv w:val="1"/>
      <w:marLeft w:val="0"/>
      <w:marRight w:val="0"/>
      <w:marTop w:val="0"/>
      <w:marBottom w:val="0"/>
      <w:divBdr>
        <w:top w:val="none" w:sz="0" w:space="0" w:color="auto"/>
        <w:left w:val="none" w:sz="0" w:space="0" w:color="auto"/>
        <w:bottom w:val="none" w:sz="0" w:space="0" w:color="auto"/>
        <w:right w:val="none" w:sz="0" w:space="0" w:color="auto"/>
      </w:divBdr>
    </w:div>
    <w:div w:id="566305827">
      <w:bodyDiv w:val="1"/>
      <w:marLeft w:val="0"/>
      <w:marRight w:val="0"/>
      <w:marTop w:val="0"/>
      <w:marBottom w:val="0"/>
      <w:divBdr>
        <w:top w:val="none" w:sz="0" w:space="0" w:color="auto"/>
        <w:left w:val="none" w:sz="0" w:space="0" w:color="auto"/>
        <w:bottom w:val="none" w:sz="0" w:space="0" w:color="auto"/>
        <w:right w:val="none" w:sz="0" w:space="0" w:color="auto"/>
      </w:divBdr>
    </w:div>
    <w:div w:id="1125007744">
      <w:bodyDiv w:val="1"/>
      <w:marLeft w:val="0"/>
      <w:marRight w:val="0"/>
      <w:marTop w:val="0"/>
      <w:marBottom w:val="0"/>
      <w:divBdr>
        <w:top w:val="none" w:sz="0" w:space="0" w:color="auto"/>
        <w:left w:val="none" w:sz="0" w:space="0" w:color="auto"/>
        <w:bottom w:val="none" w:sz="0" w:space="0" w:color="auto"/>
        <w:right w:val="none" w:sz="0" w:space="0" w:color="auto"/>
      </w:divBdr>
    </w:div>
    <w:div w:id="1307318833">
      <w:bodyDiv w:val="1"/>
      <w:marLeft w:val="0"/>
      <w:marRight w:val="0"/>
      <w:marTop w:val="0"/>
      <w:marBottom w:val="0"/>
      <w:divBdr>
        <w:top w:val="none" w:sz="0" w:space="0" w:color="auto"/>
        <w:left w:val="none" w:sz="0" w:space="0" w:color="auto"/>
        <w:bottom w:val="none" w:sz="0" w:space="0" w:color="auto"/>
        <w:right w:val="none" w:sz="0" w:space="0" w:color="auto"/>
      </w:divBdr>
    </w:div>
    <w:div w:id="1352881383">
      <w:bodyDiv w:val="1"/>
      <w:marLeft w:val="0"/>
      <w:marRight w:val="0"/>
      <w:marTop w:val="0"/>
      <w:marBottom w:val="0"/>
      <w:divBdr>
        <w:top w:val="none" w:sz="0" w:space="0" w:color="auto"/>
        <w:left w:val="none" w:sz="0" w:space="0" w:color="auto"/>
        <w:bottom w:val="none" w:sz="0" w:space="0" w:color="auto"/>
        <w:right w:val="none" w:sz="0" w:space="0" w:color="auto"/>
      </w:divBdr>
    </w:div>
    <w:div w:id="1867980815">
      <w:bodyDiv w:val="1"/>
      <w:marLeft w:val="0"/>
      <w:marRight w:val="0"/>
      <w:marTop w:val="0"/>
      <w:marBottom w:val="0"/>
      <w:divBdr>
        <w:top w:val="none" w:sz="0" w:space="0" w:color="auto"/>
        <w:left w:val="none" w:sz="0" w:space="0" w:color="auto"/>
        <w:bottom w:val="none" w:sz="0" w:space="0" w:color="auto"/>
        <w:right w:val="none" w:sz="0" w:space="0" w:color="auto"/>
      </w:divBdr>
    </w:div>
    <w:div w:id="2003121268">
      <w:marLeft w:val="0"/>
      <w:marRight w:val="0"/>
      <w:marTop w:val="0"/>
      <w:marBottom w:val="0"/>
      <w:divBdr>
        <w:top w:val="none" w:sz="0" w:space="0" w:color="auto"/>
        <w:left w:val="none" w:sz="0" w:space="0" w:color="auto"/>
        <w:bottom w:val="none" w:sz="0" w:space="0" w:color="auto"/>
        <w:right w:val="none" w:sz="0" w:space="0" w:color="auto"/>
      </w:divBdr>
    </w:div>
    <w:div w:id="2003121269">
      <w:marLeft w:val="0"/>
      <w:marRight w:val="0"/>
      <w:marTop w:val="0"/>
      <w:marBottom w:val="0"/>
      <w:divBdr>
        <w:top w:val="none" w:sz="0" w:space="0" w:color="auto"/>
        <w:left w:val="none" w:sz="0" w:space="0" w:color="auto"/>
        <w:bottom w:val="none" w:sz="0" w:space="0" w:color="auto"/>
        <w:right w:val="none" w:sz="0" w:space="0" w:color="auto"/>
      </w:divBdr>
    </w:div>
    <w:div w:id="2003121270">
      <w:marLeft w:val="0"/>
      <w:marRight w:val="0"/>
      <w:marTop w:val="0"/>
      <w:marBottom w:val="0"/>
      <w:divBdr>
        <w:top w:val="none" w:sz="0" w:space="0" w:color="auto"/>
        <w:left w:val="none" w:sz="0" w:space="0" w:color="auto"/>
        <w:bottom w:val="none" w:sz="0" w:space="0" w:color="auto"/>
        <w:right w:val="none" w:sz="0" w:space="0" w:color="auto"/>
      </w:divBdr>
    </w:div>
    <w:div w:id="2003121271">
      <w:marLeft w:val="0"/>
      <w:marRight w:val="0"/>
      <w:marTop w:val="0"/>
      <w:marBottom w:val="0"/>
      <w:divBdr>
        <w:top w:val="none" w:sz="0" w:space="0" w:color="auto"/>
        <w:left w:val="none" w:sz="0" w:space="0" w:color="auto"/>
        <w:bottom w:val="none" w:sz="0" w:space="0" w:color="auto"/>
        <w:right w:val="none" w:sz="0" w:space="0" w:color="auto"/>
      </w:divBdr>
    </w:div>
    <w:div w:id="2003121272">
      <w:marLeft w:val="0"/>
      <w:marRight w:val="0"/>
      <w:marTop w:val="0"/>
      <w:marBottom w:val="0"/>
      <w:divBdr>
        <w:top w:val="none" w:sz="0" w:space="0" w:color="auto"/>
        <w:left w:val="none" w:sz="0" w:space="0" w:color="auto"/>
        <w:bottom w:val="none" w:sz="0" w:space="0" w:color="auto"/>
        <w:right w:val="none" w:sz="0" w:space="0" w:color="auto"/>
      </w:divBdr>
    </w:div>
    <w:div w:id="2003121273">
      <w:marLeft w:val="0"/>
      <w:marRight w:val="0"/>
      <w:marTop w:val="0"/>
      <w:marBottom w:val="0"/>
      <w:divBdr>
        <w:top w:val="none" w:sz="0" w:space="0" w:color="auto"/>
        <w:left w:val="none" w:sz="0" w:space="0" w:color="auto"/>
        <w:bottom w:val="none" w:sz="0" w:space="0" w:color="auto"/>
        <w:right w:val="none" w:sz="0" w:space="0" w:color="auto"/>
      </w:divBdr>
    </w:div>
    <w:div w:id="2003121274">
      <w:marLeft w:val="0"/>
      <w:marRight w:val="0"/>
      <w:marTop w:val="0"/>
      <w:marBottom w:val="0"/>
      <w:divBdr>
        <w:top w:val="none" w:sz="0" w:space="0" w:color="auto"/>
        <w:left w:val="none" w:sz="0" w:space="0" w:color="auto"/>
        <w:bottom w:val="none" w:sz="0" w:space="0" w:color="auto"/>
        <w:right w:val="none" w:sz="0" w:space="0" w:color="auto"/>
      </w:divBdr>
    </w:div>
    <w:div w:id="2003121275">
      <w:marLeft w:val="0"/>
      <w:marRight w:val="0"/>
      <w:marTop w:val="0"/>
      <w:marBottom w:val="0"/>
      <w:divBdr>
        <w:top w:val="none" w:sz="0" w:space="0" w:color="auto"/>
        <w:left w:val="none" w:sz="0" w:space="0" w:color="auto"/>
        <w:bottom w:val="none" w:sz="0" w:space="0" w:color="auto"/>
        <w:right w:val="none" w:sz="0" w:space="0" w:color="auto"/>
      </w:divBdr>
    </w:div>
    <w:div w:id="20031212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roline.thomas@ingdirect.com.au" TargetMode="External"/><Relationship Id="rId5" Type="http://schemas.openxmlformats.org/officeDocument/2006/relationships/settings" Target="settings.xml"/><Relationship Id="rId10" Type="http://schemas.openxmlformats.org/officeDocument/2006/relationships/hyperlink" Target="http://ingdirect.wiec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7F298-BFE7-4D57-8D1A-5414234AA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864</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MEDIA RELEASE</vt:lpstr>
    </vt:vector>
  </TitlesOfParts>
  <Company>ING BANK</Company>
  <LinksUpToDate>false</LinksUpToDate>
  <CharactersWithSpaces>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cthomas</dc:creator>
  <cp:lastModifiedBy>cthomas</cp:lastModifiedBy>
  <cp:revision>8</cp:revision>
  <cp:lastPrinted>2013-02-19T05:00:00Z</cp:lastPrinted>
  <dcterms:created xsi:type="dcterms:W3CDTF">2013-02-18T03:27:00Z</dcterms:created>
  <dcterms:modified xsi:type="dcterms:W3CDTF">2013-02-19T05:01:00Z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