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6" w:rsidRDefault="001B26E9">
      <w:pPr>
        <w:rPr>
          <w:rFonts w:ascii="Arial" w:hAnsi="Arial" w:cs="Arial"/>
        </w:rPr>
      </w:pPr>
      <w:r>
        <w:rPr>
          <w:noProof/>
          <w:lang w:eastAsia="en-AU"/>
        </w:rPr>
        <mc:AlternateContent>
          <mc:Choice Requires="wps">
            <w:drawing>
              <wp:anchor distT="0" distB="0" distL="114300" distR="114300" simplePos="0" relativeHeight="251656704" behindDoc="0" locked="0" layoutInCell="1" allowOverlap="1" wp14:anchorId="7B5A4167" wp14:editId="508BF864">
                <wp:simplePos x="0" y="0"/>
                <wp:positionH relativeFrom="column">
                  <wp:posOffset>-643255</wp:posOffset>
                </wp:positionH>
                <wp:positionV relativeFrom="paragraph">
                  <wp:posOffset>-1073150</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65pt;margin-top:-84.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mc:Fallback>
        </mc:AlternateContent>
      </w:r>
      <w:r w:rsidR="007E1700">
        <w:rPr>
          <w:noProof/>
          <w:lang w:eastAsia="en-AU"/>
        </w:rPr>
        <w:drawing>
          <wp:anchor distT="0" distB="0" distL="114300" distR="114300" simplePos="0" relativeHeight="251658752" behindDoc="1" locked="0" layoutInCell="1" allowOverlap="1" wp14:anchorId="5462ACAA" wp14:editId="6886D570">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sidR="007E1700">
        <w:rPr>
          <w:noProof/>
          <w:lang w:eastAsia="en-AU"/>
        </w:rPr>
        <w:drawing>
          <wp:anchor distT="0" distB="0" distL="114300" distR="114300" simplePos="0" relativeHeight="251657728" behindDoc="1" locked="0" layoutInCell="1" allowOverlap="1" wp14:anchorId="17B7282B" wp14:editId="688CC479">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p>
    <w:p w:rsidR="00936086" w:rsidRDefault="00936086" w:rsidP="00696E91">
      <w:pPr>
        <w:rPr>
          <w:rFonts w:ascii="Arial" w:hAnsi="Arial" w:cs="Arial"/>
        </w:rPr>
      </w:pPr>
    </w:p>
    <w:p w:rsidR="001904A0" w:rsidRPr="00214BBF" w:rsidRDefault="00386CA2" w:rsidP="00214BBF">
      <w:pPr>
        <w:ind w:left="-142"/>
        <w:jc w:val="center"/>
        <w:rPr>
          <w:rFonts w:ascii="Avenir LT 55 Roman" w:hAnsi="Avenir LT 55 Roman" w:cs="Arial"/>
          <w:b/>
          <w:color w:val="000066"/>
          <w:sz w:val="36"/>
          <w:szCs w:val="36"/>
        </w:rPr>
      </w:pPr>
      <w:r>
        <w:rPr>
          <w:rFonts w:ascii="Avenir LT 55 Roman" w:hAnsi="Avenir LT 55 Roman" w:cs="Arial"/>
          <w:b/>
          <w:color w:val="000066"/>
          <w:sz w:val="36"/>
          <w:szCs w:val="36"/>
        </w:rPr>
        <w:t xml:space="preserve">ING DIRECT Bushfire response </w:t>
      </w:r>
    </w:p>
    <w:p w:rsidR="00214BBF" w:rsidRDefault="00214BBF" w:rsidP="000F692B">
      <w:pPr>
        <w:ind w:left="-142"/>
        <w:rPr>
          <w:rFonts w:ascii="Avenir LT 35 Light" w:hAnsi="Avenir LT 35 Light" w:cs="Arial"/>
          <w:color w:val="000066"/>
          <w:sz w:val="22"/>
          <w:szCs w:val="22"/>
        </w:rPr>
      </w:pPr>
    </w:p>
    <w:p w:rsidR="00214BBF" w:rsidRDefault="00214BBF" w:rsidP="00214BBF">
      <w:pPr>
        <w:pStyle w:val="PlainText"/>
        <w:spacing w:line="271" w:lineRule="auto"/>
        <w:rPr>
          <w:rFonts w:ascii="Avenir LT 35 Light" w:hAnsi="Avenir LT 35 Light" w:cs="Arial"/>
          <w:color w:val="002060"/>
          <w:szCs w:val="22"/>
        </w:rPr>
      </w:pPr>
      <w:r>
        <w:rPr>
          <w:rFonts w:ascii="Avenir LT 35 Light" w:hAnsi="Avenir LT 35 Light" w:cs="Arial"/>
          <w:b/>
          <w:color w:val="002060"/>
          <w:szCs w:val="22"/>
        </w:rPr>
        <w:t>Wednesday 2</w:t>
      </w:r>
      <w:r w:rsidR="00AF1A27">
        <w:rPr>
          <w:rFonts w:ascii="Avenir LT 35 Light" w:hAnsi="Avenir LT 35 Light" w:cs="Arial"/>
          <w:b/>
          <w:color w:val="002060"/>
          <w:szCs w:val="22"/>
        </w:rPr>
        <w:t>3</w:t>
      </w:r>
      <w:r>
        <w:rPr>
          <w:rFonts w:ascii="Avenir LT 35 Light" w:hAnsi="Avenir LT 35 Light" w:cs="Arial"/>
          <w:b/>
          <w:color w:val="002060"/>
          <w:szCs w:val="22"/>
        </w:rPr>
        <w:t xml:space="preserve"> </w:t>
      </w:r>
      <w:r w:rsidR="006A0A45">
        <w:rPr>
          <w:rFonts w:ascii="Avenir LT 35 Light" w:hAnsi="Avenir LT 35 Light" w:cs="Arial"/>
          <w:b/>
          <w:color w:val="002060"/>
          <w:szCs w:val="22"/>
        </w:rPr>
        <w:t>October</w:t>
      </w:r>
      <w:r w:rsidR="003D706E">
        <w:rPr>
          <w:rFonts w:ascii="Avenir LT 35 Light" w:hAnsi="Avenir LT 35 Light" w:cs="Arial"/>
          <w:b/>
          <w:color w:val="002060"/>
          <w:szCs w:val="22"/>
        </w:rPr>
        <w:t xml:space="preserve"> </w:t>
      </w:r>
      <w:r w:rsidR="00C72380" w:rsidRPr="00F417C0">
        <w:rPr>
          <w:rFonts w:ascii="Avenir LT 35 Light" w:hAnsi="Avenir LT 35 Light" w:cs="Arial"/>
          <w:b/>
          <w:color w:val="002060"/>
          <w:szCs w:val="22"/>
        </w:rPr>
        <w:t>2013:</w:t>
      </w:r>
      <w:r w:rsidR="00C72380">
        <w:rPr>
          <w:rFonts w:ascii="Avenir LT 35 Light" w:hAnsi="Avenir LT 35 Light" w:cs="Arial"/>
          <w:color w:val="002060"/>
          <w:szCs w:val="22"/>
        </w:rPr>
        <w:t xml:space="preserve"> </w:t>
      </w:r>
      <w:r w:rsidR="00DA026A">
        <w:rPr>
          <w:rFonts w:ascii="Avenir LT 35 Light" w:hAnsi="Avenir LT 35 Light" w:cs="Arial"/>
          <w:color w:val="002060"/>
          <w:szCs w:val="22"/>
        </w:rPr>
        <w:t xml:space="preserve"> </w:t>
      </w:r>
      <w:r>
        <w:rPr>
          <w:rFonts w:ascii="Avenir LT 35 Light" w:hAnsi="Avenir LT 35 Light" w:cs="Arial"/>
          <w:color w:val="002060"/>
          <w:szCs w:val="22"/>
        </w:rPr>
        <w:t>As a result of the recent bushfire crisis in parts of NSW, ING DIRECT</w:t>
      </w:r>
      <w:r w:rsidR="001C67EC">
        <w:rPr>
          <w:rFonts w:ascii="Avenir LT 35 Light" w:hAnsi="Avenir LT 35 Light" w:cs="Arial"/>
          <w:color w:val="002060"/>
          <w:szCs w:val="22"/>
        </w:rPr>
        <w:t xml:space="preserve"> has </w:t>
      </w:r>
      <w:r>
        <w:rPr>
          <w:rFonts w:ascii="Avenir LT 35 Light" w:hAnsi="Avenir LT 35 Light" w:cs="Arial"/>
          <w:color w:val="002060"/>
          <w:szCs w:val="22"/>
        </w:rPr>
        <w:t xml:space="preserve">a range of relief measures </w:t>
      </w:r>
      <w:r w:rsidR="001C67EC">
        <w:rPr>
          <w:rFonts w:ascii="Avenir LT 35 Light" w:hAnsi="Avenir LT 35 Light" w:cs="Arial"/>
          <w:color w:val="002060"/>
          <w:szCs w:val="22"/>
        </w:rPr>
        <w:t xml:space="preserve">available </w:t>
      </w:r>
      <w:r>
        <w:rPr>
          <w:rFonts w:ascii="Avenir LT 35 Light" w:hAnsi="Avenir LT 35 Light" w:cs="Arial"/>
          <w:color w:val="002060"/>
          <w:szCs w:val="22"/>
        </w:rPr>
        <w:t xml:space="preserve">for </w:t>
      </w:r>
      <w:r w:rsidR="001C67EC">
        <w:rPr>
          <w:rFonts w:ascii="Avenir LT 35 Light" w:hAnsi="Avenir LT 35 Light" w:cs="Arial"/>
          <w:color w:val="002060"/>
          <w:szCs w:val="22"/>
        </w:rPr>
        <w:t xml:space="preserve">affected </w:t>
      </w:r>
      <w:r>
        <w:rPr>
          <w:rFonts w:ascii="Avenir LT 35 Light" w:hAnsi="Avenir LT 35 Light" w:cs="Arial"/>
          <w:color w:val="002060"/>
          <w:szCs w:val="22"/>
        </w:rPr>
        <w:t xml:space="preserve">customers. </w:t>
      </w:r>
    </w:p>
    <w:p w:rsidR="00214BBF" w:rsidRDefault="00214BBF" w:rsidP="00214BBF">
      <w:pPr>
        <w:ind w:left="360"/>
        <w:rPr>
          <w:rFonts w:ascii="Avenir LT 35 Light" w:eastAsiaTheme="minorHAnsi" w:hAnsi="Avenir LT 35 Light" w:cs="Arial"/>
          <w:color w:val="002060"/>
          <w:sz w:val="22"/>
          <w:szCs w:val="22"/>
        </w:rPr>
      </w:pPr>
    </w:p>
    <w:p w:rsidR="00214BBF" w:rsidRDefault="00214BBF" w:rsidP="00214BBF">
      <w:pPr>
        <w:rPr>
          <w:rFonts w:ascii="Avenir LT 35 Light" w:hAnsi="Avenir LT 35 Light" w:cs="Arial"/>
          <w:color w:val="002060"/>
          <w:sz w:val="22"/>
        </w:rPr>
      </w:pPr>
      <w:r>
        <w:rPr>
          <w:rFonts w:ascii="Avenir LT 35 Light" w:hAnsi="Avenir LT 35 Light" w:cs="Arial"/>
          <w:color w:val="002060"/>
          <w:sz w:val="22"/>
        </w:rPr>
        <w:t>Home Loan customers who h</w:t>
      </w:r>
      <w:r w:rsidR="00F1291F">
        <w:rPr>
          <w:rFonts w:ascii="Avenir LT 35 Light" w:hAnsi="Avenir LT 35 Light" w:cs="Arial"/>
          <w:color w:val="002060"/>
          <w:sz w:val="22"/>
        </w:rPr>
        <w:t xml:space="preserve">ave been impacted by the fires </w:t>
      </w:r>
      <w:r>
        <w:rPr>
          <w:rFonts w:ascii="Avenir LT 35 Light" w:hAnsi="Avenir LT 35 Light" w:cs="Arial"/>
          <w:color w:val="002060"/>
          <w:sz w:val="22"/>
        </w:rPr>
        <w:t xml:space="preserve">will be offered a range of options to assist with mortgage repayments, including </w:t>
      </w:r>
      <w:r w:rsidR="002D3FFC">
        <w:rPr>
          <w:rFonts w:ascii="Avenir LT 35 Light" w:hAnsi="Avenir LT 35 Light" w:cs="Arial"/>
          <w:color w:val="002060"/>
          <w:sz w:val="22"/>
        </w:rPr>
        <w:t xml:space="preserve">hardship assistance and </w:t>
      </w:r>
      <w:r>
        <w:rPr>
          <w:rFonts w:ascii="Avenir LT 35 Light" w:hAnsi="Avenir LT 35 Light" w:cs="Arial"/>
          <w:color w:val="002060"/>
          <w:sz w:val="22"/>
        </w:rPr>
        <w:t xml:space="preserve">waiving </w:t>
      </w:r>
      <w:r w:rsidR="002D3FFC">
        <w:rPr>
          <w:rFonts w:ascii="Avenir LT 35 Light" w:hAnsi="Avenir LT 35 Light" w:cs="Arial"/>
          <w:color w:val="002060"/>
          <w:sz w:val="22"/>
        </w:rPr>
        <w:t>fees involved with restructuring loans.</w:t>
      </w:r>
    </w:p>
    <w:p w:rsidR="00214BBF" w:rsidRDefault="00214BBF" w:rsidP="00214BBF">
      <w:pPr>
        <w:rPr>
          <w:rFonts w:ascii="Avenir LT 35 Light" w:hAnsi="Avenir LT 35 Light" w:cs="Arial"/>
          <w:color w:val="002060"/>
          <w:sz w:val="22"/>
        </w:rPr>
      </w:pPr>
    </w:p>
    <w:p w:rsidR="00214BBF" w:rsidRPr="00214BBF" w:rsidRDefault="00EF0693" w:rsidP="00214BBF">
      <w:pPr>
        <w:rPr>
          <w:rFonts w:ascii="Avenir LT 35 Light" w:hAnsi="Avenir LT 35 Light" w:cs="Arial"/>
          <w:color w:val="002060"/>
          <w:sz w:val="22"/>
        </w:rPr>
      </w:pPr>
      <w:r>
        <w:rPr>
          <w:rFonts w:ascii="Avenir LT 35 Light" w:hAnsi="Avenir LT 35 Light" w:cs="Arial"/>
          <w:color w:val="002060"/>
          <w:sz w:val="22"/>
        </w:rPr>
        <w:t>Affec</w:t>
      </w:r>
      <w:bookmarkStart w:id="0" w:name="_GoBack"/>
      <w:bookmarkEnd w:id="0"/>
      <w:r>
        <w:rPr>
          <w:rFonts w:ascii="Avenir LT 35 Light" w:hAnsi="Avenir LT 35 Light" w:cs="Arial"/>
          <w:color w:val="002060"/>
          <w:sz w:val="22"/>
        </w:rPr>
        <w:t xml:space="preserve">ted </w:t>
      </w:r>
      <w:r w:rsidR="00214BBF" w:rsidRPr="00214BBF">
        <w:rPr>
          <w:rFonts w:ascii="Avenir LT 35 Light" w:hAnsi="Avenir LT 35 Light" w:cs="Arial"/>
          <w:color w:val="002060"/>
          <w:sz w:val="22"/>
        </w:rPr>
        <w:t>Savings Clients will be given fast release of funds (SWIFT) to clients’ linked bank accounts and no early termination</w:t>
      </w:r>
      <w:r w:rsidR="00F1291F">
        <w:rPr>
          <w:rFonts w:ascii="Avenir LT 35 Light" w:hAnsi="Avenir LT 35 Light" w:cs="Arial"/>
          <w:color w:val="002060"/>
          <w:sz w:val="22"/>
        </w:rPr>
        <w:t xml:space="preserve"> penalty for Term Deposit</w:t>
      </w:r>
      <w:r w:rsidR="00214BBF" w:rsidRPr="00214BBF">
        <w:rPr>
          <w:rFonts w:ascii="Avenir LT 35 Light" w:hAnsi="Avenir LT 35 Light" w:cs="Arial"/>
          <w:color w:val="002060"/>
          <w:sz w:val="22"/>
        </w:rPr>
        <w:t>s</w:t>
      </w:r>
      <w:r w:rsidR="00F1291F">
        <w:rPr>
          <w:rFonts w:ascii="Avenir LT 35 Light" w:hAnsi="Avenir LT 35 Light" w:cs="Arial"/>
          <w:color w:val="002060"/>
          <w:sz w:val="22"/>
        </w:rPr>
        <w:t>.</w:t>
      </w:r>
    </w:p>
    <w:p w:rsidR="00214BBF" w:rsidRPr="00214BBF" w:rsidRDefault="00214BBF" w:rsidP="00214BBF">
      <w:pPr>
        <w:pStyle w:val="PlainText"/>
        <w:spacing w:line="271" w:lineRule="auto"/>
        <w:rPr>
          <w:rFonts w:ascii="Avenir LT 35 Light" w:hAnsi="Avenir LT 35 Light" w:cs="Arial"/>
          <w:color w:val="002060"/>
          <w:szCs w:val="22"/>
        </w:rPr>
      </w:pPr>
    </w:p>
    <w:p w:rsidR="00214BBF" w:rsidRPr="00214BBF" w:rsidRDefault="00214BBF" w:rsidP="00214BBF">
      <w:pPr>
        <w:rPr>
          <w:rFonts w:ascii="Avenir LT 35 Light" w:hAnsi="Avenir LT 35 Light" w:cs="Arial"/>
          <w:color w:val="002060"/>
          <w:sz w:val="22"/>
        </w:rPr>
      </w:pPr>
      <w:r w:rsidRPr="00214BBF">
        <w:rPr>
          <w:rFonts w:ascii="Avenir LT 35 Light" w:hAnsi="Avenir LT 35 Light" w:cs="Arial"/>
          <w:color w:val="002060"/>
          <w:sz w:val="22"/>
        </w:rPr>
        <w:t>Standard card replacement, emergency cash and goodwill payments for dishonour fees for failed</w:t>
      </w:r>
      <w:r w:rsidR="00F1291F">
        <w:rPr>
          <w:rFonts w:ascii="Avenir LT 35 Light" w:hAnsi="Avenir LT 35 Light" w:cs="Arial"/>
          <w:color w:val="002060"/>
          <w:sz w:val="22"/>
        </w:rPr>
        <w:t xml:space="preserve"> direct debits is</w:t>
      </w:r>
      <w:r w:rsidRPr="00214BBF">
        <w:rPr>
          <w:rFonts w:ascii="Avenir LT 35 Light" w:hAnsi="Avenir LT 35 Light" w:cs="Arial"/>
          <w:color w:val="002060"/>
          <w:sz w:val="22"/>
        </w:rPr>
        <w:t xml:space="preserve"> available for affected </w:t>
      </w:r>
      <w:r>
        <w:rPr>
          <w:rFonts w:ascii="Avenir LT 35 Light" w:hAnsi="Avenir LT 35 Light" w:cs="Arial"/>
          <w:color w:val="002060"/>
          <w:sz w:val="22"/>
        </w:rPr>
        <w:t xml:space="preserve">Orange Everyday </w:t>
      </w:r>
      <w:r w:rsidRPr="00214BBF">
        <w:rPr>
          <w:rFonts w:ascii="Avenir LT 35 Light" w:hAnsi="Avenir LT 35 Light" w:cs="Arial"/>
          <w:color w:val="002060"/>
          <w:sz w:val="22"/>
        </w:rPr>
        <w:t>customers.</w:t>
      </w:r>
    </w:p>
    <w:p w:rsidR="00214BBF" w:rsidRDefault="00214BBF" w:rsidP="00214BBF">
      <w:pPr>
        <w:pStyle w:val="PlainText"/>
        <w:spacing w:line="271" w:lineRule="auto"/>
        <w:rPr>
          <w:rFonts w:ascii="Avenir LT 35 Light" w:hAnsi="Avenir LT 35 Light" w:cs="Arial"/>
          <w:color w:val="002060"/>
          <w:szCs w:val="22"/>
        </w:rPr>
      </w:pPr>
    </w:p>
    <w:p w:rsidR="00214BBF" w:rsidRPr="00214BBF" w:rsidRDefault="00214BBF" w:rsidP="00214BBF">
      <w:pPr>
        <w:pStyle w:val="PlainText"/>
        <w:spacing w:line="271" w:lineRule="auto"/>
        <w:rPr>
          <w:rFonts w:ascii="Avenir LT 35 Light" w:hAnsi="Avenir LT 35 Light" w:cs="Arial"/>
          <w:color w:val="002060"/>
          <w:szCs w:val="22"/>
        </w:rPr>
      </w:pPr>
      <w:r>
        <w:rPr>
          <w:rFonts w:ascii="Avenir LT 35 Light" w:hAnsi="Avenir LT 35 Light" w:cs="Arial"/>
          <w:color w:val="002060"/>
          <w:szCs w:val="22"/>
        </w:rPr>
        <w:t>ING DIRECT will be making two donations</w:t>
      </w:r>
      <w:r w:rsidR="00F41C23">
        <w:rPr>
          <w:rFonts w:ascii="Avenir LT 35 Light" w:hAnsi="Avenir LT 35 Light" w:cs="Arial"/>
          <w:color w:val="002060"/>
          <w:szCs w:val="22"/>
        </w:rPr>
        <w:t xml:space="preserve"> to help </w:t>
      </w:r>
      <w:r>
        <w:rPr>
          <w:rFonts w:ascii="Avenir LT 35 Light" w:hAnsi="Avenir LT 35 Light" w:cs="Arial"/>
          <w:color w:val="002060"/>
          <w:szCs w:val="22"/>
        </w:rPr>
        <w:t xml:space="preserve">local communities through the crisis and rebuild for the future. </w:t>
      </w:r>
    </w:p>
    <w:p w:rsidR="00214BBF" w:rsidRDefault="00214BBF" w:rsidP="00214BBF">
      <w:pPr>
        <w:pStyle w:val="PlainText"/>
        <w:spacing w:line="271" w:lineRule="auto"/>
        <w:rPr>
          <w:rFonts w:ascii="Avenir LT 35 Light" w:hAnsi="Avenir LT 35 Light" w:cs="Arial"/>
          <w:color w:val="002060"/>
          <w:szCs w:val="22"/>
        </w:rPr>
      </w:pPr>
    </w:p>
    <w:p w:rsidR="00214BBF" w:rsidRPr="00214BBF" w:rsidRDefault="00214BBF" w:rsidP="00214BBF">
      <w:pPr>
        <w:pStyle w:val="PlainText"/>
        <w:spacing w:line="271" w:lineRule="auto"/>
        <w:rPr>
          <w:rFonts w:ascii="Avenir LT 35 Light" w:hAnsi="Avenir LT 35 Light" w:cs="Arial"/>
          <w:b/>
          <w:color w:val="002060"/>
        </w:rPr>
      </w:pPr>
      <w:r w:rsidRPr="00214BBF">
        <w:rPr>
          <w:rFonts w:ascii="Avenir LT 35 Light" w:hAnsi="Avenir LT 35 Light" w:cs="Arial"/>
          <w:color w:val="002060"/>
        </w:rPr>
        <w:t>$50,000 will be donated to the</w:t>
      </w:r>
      <w:r>
        <w:rPr>
          <w:rFonts w:ascii="Avenir LT 35 Light" w:hAnsi="Avenir LT 35 Light" w:cs="Arial"/>
          <w:b/>
          <w:color w:val="002060"/>
        </w:rPr>
        <w:t xml:space="preserve"> </w:t>
      </w:r>
      <w:r w:rsidRPr="00214BBF">
        <w:rPr>
          <w:rFonts w:ascii="Avenir LT 35 Light" w:hAnsi="Avenir LT 35 Light" w:cs="Arial"/>
          <w:b/>
          <w:color w:val="002060"/>
        </w:rPr>
        <w:t xml:space="preserve">Red Cross Disaster Relief &amp; </w:t>
      </w:r>
      <w:proofErr w:type="gramStart"/>
      <w:r w:rsidRPr="00214BBF">
        <w:rPr>
          <w:rFonts w:ascii="Avenir LT 35 Light" w:hAnsi="Avenir LT 35 Light" w:cs="Arial"/>
          <w:b/>
          <w:color w:val="002060"/>
        </w:rPr>
        <w:t xml:space="preserve">Recovery </w:t>
      </w:r>
      <w:r>
        <w:rPr>
          <w:rFonts w:ascii="Avenir LT 35 Light" w:hAnsi="Avenir LT 35 Light" w:cs="Arial"/>
          <w:color w:val="002060"/>
        </w:rPr>
        <w:t xml:space="preserve"> and</w:t>
      </w:r>
      <w:proofErr w:type="gramEnd"/>
      <w:r>
        <w:rPr>
          <w:rFonts w:ascii="Avenir LT 35 Light" w:hAnsi="Avenir LT 35 Light" w:cs="Arial"/>
          <w:color w:val="002060"/>
        </w:rPr>
        <w:t xml:space="preserve"> a further $50,000 to the </w:t>
      </w:r>
      <w:r w:rsidRPr="00214BBF">
        <w:rPr>
          <w:rFonts w:ascii="Avenir LT 35 Light" w:hAnsi="Avenir LT 35 Light" w:cs="Arial"/>
          <w:b/>
          <w:color w:val="002060"/>
        </w:rPr>
        <w:t xml:space="preserve">Foundation for Rural &amp; Regional Renewal </w:t>
      </w:r>
      <w:r w:rsidRPr="00214BBF">
        <w:rPr>
          <w:rFonts w:ascii="Avenir LT 35 Light" w:hAnsi="Avenir LT 35 Light" w:cs="Arial"/>
          <w:color w:val="002060"/>
        </w:rPr>
        <w:t>–</w:t>
      </w:r>
      <w:r>
        <w:rPr>
          <w:rFonts w:ascii="Avenir LT 35 Light" w:hAnsi="Avenir LT 35 Light" w:cs="Arial"/>
          <w:color w:val="002060"/>
        </w:rPr>
        <w:t xml:space="preserve"> which w</w:t>
      </w:r>
      <w:r w:rsidRPr="00214BBF">
        <w:rPr>
          <w:rFonts w:ascii="Avenir LT 35 Light" w:hAnsi="Avenir LT 35 Light" w:cs="Arial"/>
          <w:color w:val="002060"/>
        </w:rPr>
        <w:t xml:space="preserve">ork with communities to build their capacity for long term sustainability following natural disasters &amp; stimulate renewal. </w:t>
      </w:r>
    </w:p>
    <w:p w:rsidR="005C3151" w:rsidRPr="00214BBF" w:rsidRDefault="005C3151" w:rsidP="00214BBF">
      <w:pPr>
        <w:pStyle w:val="PlainText"/>
        <w:spacing w:line="271" w:lineRule="auto"/>
        <w:rPr>
          <w:rFonts w:ascii="Avenir LT 35 Light" w:hAnsi="Avenir LT 35 Light" w:cs="Arial"/>
          <w:color w:val="002060"/>
        </w:rPr>
      </w:pPr>
    </w:p>
    <w:p w:rsidR="00C20FA1" w:rsidRDefault="00696E91" w:rsidP="00696E91">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p w:rsidR="00696E91" w:rsidRDefault="00696E91" w:rsidP="00696E91">
      <w:pPr>
        <w:rPr>
          <w:rFonts w:ascii="Avenir LT 35 Light" w:hAnsi="Avenir LT 35 Light" w:cs="Arial"/>
          <w:color w:val="000066"/>
        </w:rPr>
      </w:pPr>
    </w:p>
    <w:p w:rsidR="00696E91" w:rsidRPr="00286990" w:rsidRDefault="00696E91" w:rsidP="00696E91">
      <w:pPr>
        <w:widowControl w:val="0"/>
        <w:tabs>
          <w:tab w:val="left" w:pos="2520"/>
          <w:tab w:val="left" w:pos="5760"/>
        </w:tabs>
        <w:jc w:val="both"/>
        <w:rPr>
          <w:rFonts w:ascii="Avenir LT 35 Light" w:hAnsi="Avenir LT 35 Light" w:cs="Arial"/>
          <w:b/>
          <w:color w:val="000066"/>
        </w:rPr>
      </w:pPr>
      <w:r w:rsidRPr="00286990">
        <w:rPr>
          <w:rFonts w:ascii="Avenir LT 35 Light" w:hAnsi="Avenir LT 35 Light" w:cs="Arial"/>
          <w:b/>
          <w:color w:val="000066"/>
        </w:rPr>
        <w:t xml:space="preserve">Media contact: </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Caroline Thomas</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PR Manager, ING DIRECT</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+61 2 9018 5160</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+61 413 317 225</w:t>
      </w:r>
    </w:p>
    <w:p w:rsidR="00696E91" w:rsidRPr="00286990" w:rsidRDefault="00EF0693" w:rsidP="00696E91">
      <w:pPr>
        <w:rPr>
          <w:rFonts w:ascii="Avenir LT 35 Light" w:hAnsi="Avenir LT 35 Light"/>
          <w:color w:val="0000FF"/>
          <w:lang w:val="nl-NL"/>
        </w:rPr>
      </w:pPr>
      <w:hyperlink r:id="rId10" w:history="1">
        <w:r w:rsidR="00696E91" w:rsidRPr="00286990">
          <w:rPr>
            <w:rStyle w:val="Hyperlink"/>
            <w:rFonts w:ascii="Avenir LT 35 Light" w:hAnsi="Avenir LT 35 Light" w:cs="Arial"/>
            <w:lang w:val="nl-NL"/>
          </w:rPr>
          <w:t>caroline.thomas@ingdirect.com.au</w:t>
        </w:r>
      </w:hyperlink>
      <w:r w:rsidR="00696E91" w:rsidRPr="00286990">
        <w:rPr>
          <w:rStyle w:val="Hyperlink"/>
          <w:rFonts w:ascii="Avenir LT 35 Light" w:hAnsi="Avenir LT 35 Light" w:cs="Arial"/>
          <w:lang w:val="nl-NL"/>
        </w:rPr>
        <w:t xml:space="preserve"> </w:t>
      </w:r>
    </w:p>
    <w:p w:rsidR="00696E91" w:rsidRPr="00286990" w:rsidRDefault="00696E91" w:rsidP="00696E91">
      <w:pPr>
        <w:rPr>
          <w:rFonts w:ascii="Avenir LT 35 Light" w:hAnsi="Avenir LT 35 Light" w:cs="Arial"/>
          <w:color w:val="000066"/>
          <w:lang w:val="nl-NL"/>
        </w:rPr>
      </w:pPr>
    </w:p>
    <w:p w:rsidR="007F2F46" w:rsidRDefault="007F2F46" w:rsidP="00696E91">
      <w:pPr>
        <w:widowControl w:val="0"/>
        <w:tabs>
          <w:tab w:val="left" w:pos="2520"/>
          <w:tab w:val="left" w:pos="5760"/>
        </w:tabs>
        <w:jc w:val="both"/>
        <w:rPr>
          <w:rFonts w:ascii="Avenir LT 35 Light" w:hAnsi="Avenir LT 35 Light" w:cs="Arial"/>
          <w:b/>
          <w:color w:val="000066"/>
          <w:lang w:val="nl-NL"/>
        </w:rPr>
      </w:pPr>
    </w:p>
    <w:p w:rsidR="00696E91" w:rsidRPr="00286990" w:rsidRDefault="00696E91" w:rsidP="00696E91">
      <w:pPr>
        <w:widowControl w:val="0"/>
        <w:tabs>
          <w:tab w:val="left" w:pos="2520"/>
          <w:tab w:val="left" w:pos="5760"/>
        </w:tabs>
        <w:jc w:val="both"/>
        <w:rPr>
          <w:rFonts w:ascii="Avenir LT 35 Light" w:hAnsi="Avenir LT 35 Light" w:cs="Arial"/>
          <w:b/>
          <w:color w:val="000066"/>
          <w:lang w:val="nl-NL"/>
        </w:rPr>
      </w:pPr>
      <w:r w:rsidRPr="00286990">
        <w:rPr>
          <w:rFonts w:ascii="Avenir LT 35 Light" w:hAnsi="Avenir LT 35 Light" w:cs="Arial"/>
          <w:b/>
          <w:color w:val="000066"/>
          <w:lang w:val="nl-NL"/>
        </w:rPr>
        <w:t>About ING DIRECT</w:t>
      </w:r>
    </w:p>
    <w:p w:rsidR="00696E91" w:rsidRPr="00286990" w:rsidRDefault="00696E91" w:rsidP="00696E91">
      <w:pPr>
        <w:rPr>
          <w:rFonts w:ascii="Avenir LT 35 Light" w:hAnsi="Avenir LT 35 Light" w:cs="Arial"/>
          <w:b/>
          <w:color w:val="000066"/>
        </w:rPr>
      </w:pPr>
      <w:r w:rsidRPr="00286990">
        <w:rPr>
          <w:rFonts w:ascii="Avenir LT 35 Light" w:hAnsi="Avenir LT 35 Light" w:cs="Arial"/>
          <w:color w:val="000066"/>
        </w:rPr>
        <w:t xml:space="preserve">ING DIRECT pioneered branchless banking in </w:t>
      </w:r>
      <w:smartTag w:uri="urn:schemas-microsoft-com:office:smarttags" w:element="place">
        <w:smartTag w:uri="urn:schemas-microsoft-com:office:smarttags" w:element="country-region">
          <w:r w:rsidRPr="00286990">
            <w:rPr>
              <w:rFonts w:ascii="Avenir LT 35 Light" w:hAnsi="Avenir LT 35 Light" w:cs="Arial"/>
              <w:color w:val="000066"/>
            </w:rPr>
            <w:t>Australia</w:t>
          </w:r>
        </w:smartTag>
      </w:smartTag>
      <w:r w:rsidRPr="00286990">
        <w:rPr>
          <w:rFonts w:ascii="Avenir LT 35 Light" w:hAnsi="Avenir LT 35 Light" w:cs="Arial"/>
          <w:color w:val="000066"/>
        </w:rPr>
        <w:t xml:space="preserve"> by offering the first online, high interest, fee free savings account. Our low cost operating model allows us to pass these savings on to the customer in the form of great value products and services. Today, ING DIRECT has more tha</w:t>
      </w:r>
      <w:r w:rsidR="006A0A45">
        <w:rPr>
          <w:rFonts w:ascii="Avenir LT 35 Light" w:hAnsi="Avenir LT 35 Light" w:cs="Arial"/>
          <w:color w:val="000066"/>
        </w:rPr>
        <w:t>n 1.4 million customers with $30</w:t>
      </w:r>
      <w:r w:rsidRPr="00286990">
        <w:rPr>
          <w:rFonts w:ascii="Avenir LT 35 Light" w:hAnsi="Avenir LT 35 Light" w:cs="Arial"/>
          <w:color w:val="000066"/>
        </w:rPr>
        <w:t xml:space="preserve"> billion in deposits and $38 billion in mortgages and a range of products including transaction accounts and superannuation. </w:t>
      </w:r>
      <w:r w:rsidRPr="00286990">
        <w:rPr>
          <w:rFonts w:ascii="Avenir LT 35 Light" w:hAnsi="Avenir LT 35 Light" w:cs="Arial"/>
          <w:b/>
          <w:color w:val="000066"/>
        </w:rPr>
        <w:t>Please note ING DIRECT is never abbreviated to ING.</w:t>
      </w:r>
    </w:p>
    <w:p w:rsidR="00C20FA1" w:rsidRDefault="00C20FA1" w:rsidP="00721364">
      <w:pPr>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936086" w:rsidRDefault="00936086" w:rsidP="00CA55A3">
      <w:pPr>
        <w:jc w:val="center"/>
        <w:rPr>
          <w:rFonts w:ascii="Arial" w:hAnsi="Arial" w:cs="Arial"/>
        </w:rPr>
      </w:pPr>
    </w:p>
    <w:p w:rsidR="00936086" w:rsidRDefault="00936086">
      <w:pPr>
        <w:rPr>
          <w:rFonts w:ascii="Arial" w:hAnsi="Arial" w:cs="Arial"/>
        </w:rPr>
      </w:pPr>
    </w:p>
    <w:p w:rsidR="00936086" w:rsidRDefault="00936086">
      <w:pPr>
        <w:rPr>
          <w:rFonts w:ascii="Arial" w:hAnsi="Arial" w:cs="Arial"/>
        </w:rPr>
      </w:pPr>
    </w:p>
    <w:sectPr w:rsidR="00936086" w:rsidSect="00CA55A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CD" w:rsidRDefault="002939CD">
      <w:r>
        <w:separator/>
      </w:r>
    </w:p>
  </w:endnote>
  <w:endnote w:type="continuationSeparator" w:id="0">
    <w:p w:rsidR="002939CD" w:rsidRDefault="0029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 Havre Sketch Regular">
    <w:panose1 w:val="02000503000000020004"/>
    <w:charset w:val="00"/>
    <w:family w:val="auto"/>
    <w:pitch w:val="variable"/>
    <w:sig w:usb0="A0000AAF" w:usb1="5000005A" w:usb2="00000000" w:usb3="00000000" w:csb0="00000193" w:csb1="00000000"/>
  </w:font>
  <w:font w:name="Avenir LT 55 Roman">
    <w:panose1 w:val="020B0503020000020003"/>
    <w:charset w:val="00"/>
    <w:family w:val="swiss"/>
    <w:pitch w:val="variable"/>
    <w:sig w:usb0="80000003" w:usb1="00000042" w:usb2="00000000" w:usb3="00000000" w:csb0="00000001" w:csb1="00000000"/>
  </w:font>
  <w:font w:name="Avenir LT 35 Light">
    <w:panose1 w:val="020B03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CD" w:rsidRDefault="002939CD">
      <w:r>
        <w:separator/>
      </w:r>
    </w:p>
  </w:footnote>
  <w:footnote w:type="continuationSeparator" w:id="0">
    <w:p w:rsidR="002939CD" w:rsidRDefault="0029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2">
    <w:nsid w:val="434316A4"/>
    <w:multiLevelType w:val="hybridMultilevel"/>
    <w:tmpl w:val="8C8672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47467CFF"/>
    <w:multiLevelType w:val="hybridMultilevel"/>
    <w:tmpl w:val="3BC0B8E8"/>
    <w:lvl w:ilvl="0" w:tplc="FDE4D67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233C"/>
    <w:rsid w:val="00035317"/>
    <w:rsid w:val="000E6C10"/>
    <w:rsid w:val="000F692B"/>
    <w:rsid w:val="001904A0"/>
    <w:rsid w:val="001B26E9"/>
    <w:rsid w:val="001C23E3"/>
    <w:rsid w:val="001C67EC"/>
    <w:rsid w:val="0020097E"/>
    <w:rsid w:val="0021336F"/>
    <w:rsid w:val="00214BBF"/>
    <w:rsid w:val="00254351"/>
    <w:rsid w:val="002939CD"/>
    <w:rsid w:val="002D3FFC"/>
    <w:rsid w:val="002D774D"/>
    <w:rsid w:val="00344CC0"/>
    <w:rsid w:val="00386CA2"/>
    <w:rsid w:val="003A7EE7"/>
    <w:rsid w:val="003D706E"/>
    <w:rsid w:val="00454533"/>
    <w:rsid w:val="00455129"/>
    <w:rsid w:val="004D61D3"/>
    <w:rsid w:val="004F15FD"/>
    <w:rsid w:val="00513836"/>
    <w:rsid w:val="00536B99"/>
    <w:rsid w:val="00545519"/>
    <w:rsid w:val="005828E6"/>
    <w:rsid w:val="00591696"/>
    <w:rsid w:val="005B5AB9"/>
    <w:rsid w:val="005C3151"/>
    <w:rsid w:val="005D7711"/>
    <w:rsid w:val="006120AE"/>
    <w:rsid w:val="00644FE3"/>
    <w:rsid w:val="006525E4"/>
    <w:rsid w:val="006627B9"/>
    <w:rsid w:val="00692788"/>
    <w:rsid w:val="00696E91"/>
    <w:rsid w:val="006A0A45"/>
    <w:rsid w:val="006C085A"/>
    <w:rsid w:val="006D3E2A"/>
    <w:rsid w:val="00721364"/>
    <w:rsid w:val="00760382"/>
    <w:rsid w:val="007E1700"/>
    <w:rsid w:val="007F2F46"/>
    <w:rsid w:val="007F3F2E"/>
    <w:rsid w:val="007F4AE3"/>
    <w:rsid w:val="00846435"/>
    <w:rsid w:val="00863D35"/>
    <w:rsid w:val="008D3070"/>
    <w:rsid w:val="008F3BAD"/>
    <w:rsid w:val="00924C3B"/>
    <w:rsid w:val="00936086"/>
    <w:rsid w:val="00961C97"/>
    <w:rsid w:val="00981DCE"/>
    <w:rsid w:val="00991E10"/>
    <w:rsid w:val="009F212F"/>
    <w:rsid w:val="00A438B4"/>
    <w:rsid w:val="00AB0AB8"/>
    <w:rsid w:val="00AC717B"/>
    <w:rsid w:val="00AE3677"/>
    <w:rsid w:val="00AF1A27"/>
    <w:rsid w:val="00B35A9A"/>
    <w:rsid w:val="00B461D9"/>
    <w:rsid w:val="00B46AFF"/>
    <w:rsid w:val="00B52683"/>
    <w:rsid w:val="00B972D5"/>
    <w:rsid w:val="00BA359B"/>
    <w:rsid w:val="00C20FA1"/>
    <w:rsid w:val="00C72380"/>
    <w:rsid w:val="00CA55A3"/>
    <w:rsid w:val="00D954FF"/>
    <w:rsid w:val="00DA026A"/>
    <w:rsid w:val="00DD3476"/>
    <w:rsid w:val="00DE3B1A"/>
    <w:rsid w:val="00E1611B"/>
    <w:rsid w:val="00EA0B1D"/>
    <w:rsid w:val="00EC257D"/>
    <w:rsid w:val="00EF0693"/>
    <w:rsid w:val="00F015A4"/>
    <w:rsid w:val="00F1291F"/>
    <w:rsid w:val="00F417C0"/>
    <w:rsid w:val="00F41C23"/>
    <w:rsid w:val="00F4388F"/>
    <w:rsid w:val="00FC5894"/>
    <w:rsid w:val="00FE2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roline.thomas@ingdirect.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Header.dotx</Template>
  <TotalTime>29</TotalTime>
  <Pages>1</Pages>
  <Words>272</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4</cp:revision>
  <cp:lastPrinted>2013-10-23T00:39:00Z</cp:lastPrinted>
  <dcterms:created xsi:type="dcterms:W3CDTF">2013-10-23T01:54:00Z</dcterms:created>
  <dcterms:modified xsi:type="dcterms:W3CDTF">2013-10-23T03:05:00Z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