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3D" w:rsidRPr="00F13150" w:rsidRDefault="004A793D" w:rsidP="00F13150">
      <w:pPr>
        <w:spacing w:after="0"/>
        <w:rPr>
          <w:rFonts w:ascii="Arial" w:hAnsi="Arial" w:cs="Arial"/>
          <w:b/>
          <w:sz w:val="20"/>
          <w:szCs w:val="20"/>
        </w:rPr>
      </w:pPr>
      <w:r>
        <w:rPr>
          <w:rFonts w:ascii="Arial" w:hAnsi="Arial" w:cs="Arial"/>
          <w:b/>
          <w:sz w:val="20"/>
          <w:szCs w:val="20"/>
        </w:rPr>
        <w:t xml:space="preserve">MEDIA RELEASE </w:t>
      </w:r>
    </w:p>
    <w:p w:rsidR="004A793D" w:rsidRDefault="004A793D" w:rsidP="00F13150">
      <w:pPr>
        <w:widowControl w:val="0"/>
        <w:tabs>
          <w:tab w:val="left" w:pos="2520"/>
          <w:tab w:val="left" w:pos="5760"/>
        </w:tabs>
        <w:spacing w:after="0"/>
        <w:jc w:val="both"/>
        <w:rPr>
          <w:rFonts w:ascii="Arial" w:hAnsi="Arial" w:cs="Arial"/>
          <w:b/>
          <w:sz w:val="20"/>
          <w:szCs w:val="20"/>
        </w:rPr>
      </w:pPr>
    </w:p>
    <w:p w:rsidR="004A793D" w:rsidRDefault="004A793D" w:rsidP="001D68E0">
      <w:pPr>
        <w:widowControl w:val="0"/>
        <w:tabs>
          <w:tab w:val="left" w:pos="2520"/>
          <w:tab w:val="left" w:pos="5760"/>
        </w:tabs>
        <w:spacing w:after="0"/>
        <w:jc w:val="center"/>
        <w:rPr>
          <w:rFonts w:ascii="Arial" w:hAnsi="Arial" w:cs="Arial"/>
          <w:b/>
          <w:sz w:val="28"/>
          <w:szCs w:val="28"/>
        </w:rPr>
      </w:pPr>
      <w:r>
        <w:rPr>
          <w:rFonts w:ascii="Arial" w:hAnsi="Arial" w:cs="Arial"/>
          <w:b/>
          <w:sz w:val="28"/>
          <w:szCs w:val="28"/>
        </w:rPr>
        <w:t xml:space="preserve">ING DIRECT to launch LVR based pricing </w:t>
      </w:r>
    </w:p>
    <w:p w:rsidR="004A793D" w:rsidRDefault="004A793D" w:rsidP="005F218D">
      <w:pPr>
        <w:widowControl w:val="0"/>
        <w:tabs>
          <w:tab w:val="left" w:pos="2520"/>
          <w:tab w:val="left" w:pos="5760"/>
        </w:tabs>
        <w:spacing w:after="0"/>
        <w:rPr>
          <w:rFonts w:ascii="Arial" w:hAnsi="Arial" w:cs="Arial"/>
          <w:b/>
          <w:sz w:val="20"/>
          <w:szCs w:val="20"/>
        </w:rPr>
      </w:pPr>
    </w:p>
    <w:p w:rsidR="004A793D" w:rsidRDefault="004A793D" w:rsidP="002B7DC3">
      <w:pPr>
        <w:widowControl w:val="0"/>
        <w:tabs>
          <w:tab w:val="left" w:pos="2520"/>
          <w:tab w:val="left" w:pos="5760"/>
        </w:tabs>
        <w:jc w:val="both"/>
        <w:rPr>
          <w:rFonts w:ascii="Arial" w:hAnsi="Arial" w:cs="Arial"/>
          <w:sz w:val="20"/>
          <w:szCs w:val="20"/>
        </w:rPr>
      </w:pPr>
      <w:r>
        <w:rPr>
          <w:rFonts w:ascii="Arial" w:hAnsi="Arial" w:cs="Arial"/>
          <w:b/>
          <w:i/>
          <w:sz w:val="20"/>
          <w:szCs w:val="20"/>
        </w:rPr>
        <w:t>Tuesday, 3 July 2012:</w:t>
      </w:r>
      <w:r>
        <w:rPr>
          <w:rFonts w:ascii="Arial" w:hAnsi="Arial" w:cs="Arial"/>
          <w:sz w:val="20"/>
          <w:szCs w:val="20"/>
        </w:rPr>
        <w:t xml:space="preserve"> ING DIRECT will offer LVR based interest rates on its popular Orange Advantage and SmartPack Mortgage Simplifier products to reward customers taking loans with lower LVRs.</w:t>
      </w:r>
    </w:p>
    <w:p w:rsidR="004A793D" w:rsidRDefault="004A793D" w:rsidP="002B7DC3">
      <w:pPr>
        <w:widowControl w:val="0"/>
        <w:tabs>
          <w:tab w:val="left" w:pos="2520"/>
          <w:tab w:val="left" w:pos="5760"/>
        </w:tabs>
        <w:jc w:val="both"/>
        <w:rPr>
          <w:rFonts w:ascii="Arial" w:hAnsi="Arial" w:cs="Arial"/>
          <w:sz w:val="20"/>
          <w:szCs w:val="20"/>
        </w:rPr>
      </w:pPr>
      <w:r>
        <w:rPr>
          <w:rFonts w:ascii="Arial" w:hAnsi="Arial" w:cs="Arial"/>
          <w:sz w:val="20"/>
          <w:szCs w:val="20"/>
        </w:rPr>
        <w:t xml:space="preserve">As of July 9, customers for new borrowings with LVRs of less than 80% will be eligible for reduced interest rates. </w:t>
      </w:r>
      <w:smartTag w:uri="urn:schemas-microsoft-com:office:smarttags" w:element="place">
        <w:r>
          <w:rPr>
            <w:rFonts w:ascii="Arial" w:hAnsi="Arial" w:cs="Arial"/>
            <w:sz w:val="20"/>
            <w:szCs w:val="20"/>
          </w:rPr>
          <w:t>Lower LVR</w:t>
        </w:r>
      </w:smartTag>
      <w:r>
        <w:rPr>
          <w:rFonts w:ascii="Arial" w:hAnsi="Arial" w:cs="Arial"/>
          <w:sz w:val="20"/>
          <w:szCs w:val="20"/>
        </w:rPr>
        <w:t xml:space="preserve"> customers borrowing $500,000 or more will receive an interest rate of just 5.88% p.a. </w:t>
      </w:r>
      <w:r w:rsidR="006355CD">
        <w:rPr>
          <w:rFonts w:ascii="Arial" w:hAnsi="Arial" w:cs="Arial"/>
          <w:sz w:val="20"/>
          <w:szCs w:val="20"/>
        </w:rPr>
        <w:t xml:space="preserve">with an </w:t>
      </w:r>
      <w:r>
        <w:rPr>
          <w:rFonts w:ascii="Arial" w:hAnsi="Arial" w:cs="Arial"/>
          <w:sz w:val="20"/>
          <w:szCs w:val="20"/>
        </w:rPr>
        <w:t>Orange Advantage or SmartPack Mortgage Simplifier.</w:t>
      </w:r>
    </w:p>
    <w:p w:rsidR="004A793D" w:rsidRDefault="004A793D" w:rsidP="002B7DC3">
      <w:pPr>
        <w:widowControl w:val="0"/>
        <w:tabs>
          <w:tab w:val="left" w:pos="2520"/>
          <w:tab w:val="left" w:pos="5760"/>
        </w:tabs>
        <w:jc w:val="both"/>
        <w:rPr>
          <w:rFonts w:ascii="Arial" w:hAnsi="Arial" w:cs="Arial"/>
          <w:sz w:val="20"/>
          <w:szCs w:val="20"/>
        </w:rPr>
      </w:pPr>
      <w:r>
        <w:rPr>
          <w:rFonts w:ascii="Arial" w:hAnsi="Arial" w:cs="Arial"/>
          <w:sz w:val="20"/>
          <w:szCs w:val="20"/>
        </w:rPr>
        <w:t>“We’re looking to attract additional sub 80% LVR business and this pricing structure will make us more attractive to upgraders and investors. We’ve also taken on feedback and reduced the threshold under Orange Advantage and SmartPack from $300,000 down to $250,000 which will appeal to a wider market.</w:t>
      </w:r>
    </w:p>
    <w:p w:rsidR="004A793D" w:rsidRDefault="004A793D" w:rsidP="002B7DC3">
      <w:pPr>
        <w:widowControl w:val="0"/>
        <w:tabs>
          <w:tab w:val="left" w:pos="2520"/>
          <w:tab w:val="left" w:pos="5760"/>
        </w:tabs>
        <w:jc w:val="both"/>
        <w:rPr>
          <w:rFonts w:ascii="Arial" w:hAnsi="Arial" w:cs="Arial"/>
          <w:sz w:val="20"/>
          <w:szCs w:val="20"/>
        </w:rPr>
      </w:pPr>
      <w:r>
        <w:rPr>
          <w:rFonts w:ascii="Arial" w:hAnsi="Arial" w:cs="Arial"/>
          <w:sz w:val="20"/>
          <w:szCs w:val="20"/>
        </w:rPr>
        <w:t>“Whilst we’ve made various improvements to our service proposition this year, we certainly haven’t overlooked the importance of sharply priced</w:t>
      </w:r>
      <w:r w:rsidR="006355CD">
        <w:rPr>
          <w:rFonts w:ascii="Arial" w:hAnsi="Arial" w:cs="Arial"/>
          <w:sz w:val="20"/>
          <w:szCs w:val="20"/>
        </w:rPr>
        <w:t xml:space="preserve">, </w:t>
      </w:r>
      <w:r>
        <w:rPr>
          <w:rFonts w:ascii="Arial" w:hAnsi="Arial" w:cs="Arial"/>
          <w:sz w:val="20"/>
          <w:szCs w:val="20"/>
        </w:rPr>
        <w:t>competitive products, and these changes highlight this.</w:t>
      </w:r>
    </w:p>
    <w:p w:rsidR="004A793D" w:rsidRDefault="004A793D" w:rsidP="002B7DC3">
      <w:pPr>
        <w:widowControl w:val="0"/>
        <w:tabs>
          <w:tab w:val="left" w:pos="2520"/>
          <w:tab w:val="left" w:pos="5760"/>
        </w:tabs>
        <w:jc w:val="both"/>
        <w:rPr>
          <w:rFonts w:ascii="Arial" w:hAnsi="Arial" w:cs="Arial"/>
          <w:sz w:val="20"/>
          <w:szCs w:val="20"/>
        </w:rPr>
      </w:pPr>
      <w:r>
        <w:rPr>
          <w:rFonts w:ascii="Arial" w:hAnsi="Arial" w:cs="Arial"/>
          <w:sz w:val="20"/>
          <w:szCs w:val="20"/>
        </w:rPr>
        <w:t>“Another positive</w:t>
      </w:r>
      <w:r w:rsidR="006355CD">
        <w:rPr>
          <w:rFonts w:ascii="Arial" w:hAnsi="Arial" w:cs="Arial"/>
          <w:sz w:val="20"/>
          <w:szCs w:val="20"/>
        </w:rPr>
        <w:t>,</w:t>
      </w:r>
      <w:r>
        <w:rPr>
          <w:rFonts w:ascii="Arial" w:hAnsi="Arial" w:cs="Arial"/>
          <w:sz w:val="20"/>
          <w:szCs w:val="20"/>
        </w:rPr>
        <w:t xml:space="preserve"> based on feedback </w:t>
      </w:r>
      <w:r w:rsidR="006355CD">
        <w:rPr>
          <w:rFonts w:ascii="Arial" w:hAnsi="Arial" w:cs="Arial"/>
          <w:sz w:val="20"/>
          <w:szCs w:val="20"/>
        </w:rPr>
        <w:t xml:space="preserve">from our </w:t>
      </w:r>
      <w:r>
        <w:rPr>
          <w:rFonts w:ascii="Arial" w:hAnsi="Arial" w:cs="Arial"/>
          <w:sz w:val="20"/>
          <w:szCs w:val="20"/>
        </w:rPr>
        <w:t>broker partners</w:t>
      </w:r>
      <w:r w:rsidR="006355CD">
        <w:rPr>
          <w:rFonts w:ascii="Arial" w:hAnsi="Arial" w:cs="Arial"/>
          <w:sz w:val="20"/>
          <w:szCs w:val="20"/>
        </w:rPr>
        <w:t>,</w:t>
      </w:r>
      <w:r>
        <w:rPr>
          <w:rFonts w:ascii="Arial" w:hAnsi="Arial" w:cs="Arial"/>
          <w:sz w:val="20"/>
          <w:szCs w:val="20"/>
        </w:rPr>
        <w:t xml:space="preserve"> is that we’ve aligned Orange Advantage and SmartPack Mortgage Simplifier price points for loan amounts above $250,000 with </w:t>
      </w:r>
      <w:proofErr w:type="spellStart"/>
      <w:r>
        <w:rPr>
          <w:rFonts w:ascii="Arial" w:hAnsi="Arial" w:cs="Arial"/>
          <w:sz w:val="20"/>
          <w:szCs w:val="20"/>
        </w:rPr>
        <w:t>LVRs</w:t>
      </w:r>
      <w:proofErr w:type="spellEnd"/>
      <w:r>
        <w:rPr>
          <w:rFonts w:ascii="Arial" w:hAnsi="Arial" w:cs="Arial"/>
          <w:sz w:val="20"/>
          <w:szCs w:val="20"/>
        </w:rPr>
        <w:t xml:space="preserve"> below 80%.” </w:t>
      </w:r>
      <w:r w:rsidRPr="007B49F5">
        <w:rPr>
          <w:rFonts w:ascii="Arial" w:hAnsi="Arial" w:cs="Arial"/>
          <w:sz w:val="20"/>
          <w:szCs w:val="20"/>
        </w:rPr>
        <w:t>s</w:t>
      </w:r>
      <w:r>
        <w:rPr>
          <w:rFonts w:ascii="Arial" w:hAnsi="Arial" w:cs="Arial"/>
          <w:sz w:val="20"/>
          <w:szCs w:val="20"/>
        </w:rPr>
        <w:t>aid Mark Woolnough, Head of Broker Distribution at ING DIRECT.</w:t>
      </w:r>
    </w:p>
    <w:p w:rsidR="004A793D" w:rsidRDefault="004A793D" w:rsidP="002B7DC3">
      <w:pPr>
        <w:widowControl w:val="0"/>
        <w:tabs>
          <w:tab w:val="left" w:pos="2520"/>
          <w:tab w:val="left" w:pos="5760"/>
        </w:tabs>
        <w:jc w:val="both"/>
        <w:rPr>
          <w:rFonts w:ascii="Arial" w:hAnsi="Arial" w:cs="Arial"/>
          <w:sz w:val="20"/>
          <w:szCs w:val="20"/>
        </w:rPr>
      </w:pPr>
      <w:r>
        <w:rPr>
          <w:rFonts w:ascii="Arial" w:hAnsi="Arial" w:cs="Arial"/>
          <w:sz w:val="20"/>
          <w:szCs w:val="20"/>
        </w:rPr>
        <w:t xml:space="preserve">ING DIRECT will also continue to waive SmartPack and Fixed Rate application fees, until further notice. </w:t>
      </w:r>
    </w:p>
    <w:p w:rsidR="004A793D" w:rsidRPr="00777D39" w:rsidRDefault="004A793D" w:rsidP="00777D39">
      <w:pPr>
        <w:spacing w:after="0"/>
        <w:ind w:right="-1072" w:firstLine="11"/>
        <w:jc w:val="both"/>
        <w:rPr>
          <w:rFonts w:ascii="Arial" w:hAnsi="Arial" w:cs="Arial"/>
          <w:b/>
          <w:color w:val="002060"/>
          <w:lang w:eastAsia="en-AU"/>
        </w:rPr>
      </w:pPr>
      <w:r w:rsidRPr="00777D39">
        <w:rPr>
          <w:rFonts w:ascii="Arial" w:hAnsi="Arial" w:cs="Arial"/>
          <w:b/>
          <w:color w:val="002060"/>
          <w:lang w:eastAsia="en-AU"/>
        </w:rPr>
        <w:t>LVR Based Interest Rates - from 9 July 2012</w:t>
      </w:r>
    </w:p>
    <w:tbl>
      <w:tblPr>
        <w:tblpPr w:leftFromText="180" w:rightFromText="180" w:vertAnchor="text" w:horzAnchor="margin" w:tblpXSpec="center" w:tblpY="311"/>
        <w:tblOverlap w:val="never"/>
        <w:tblW w:w="9322" w:type="dxa"/>
        <w:tblBorders>
          <w:top w:val="single" w:sz="4" w:space="0" w:color="FF6600"/>
          <w:bottom w:val="single" w:sz="4" w:space="0" w:color="FF6600"/>
          <w:insideH w:val="single" w:sz="4" w:space="0" w:color="FF6600"/>
        </w:tblBorders>
        <w:tblLayout w:type="fixed"/>
        <w:tblLook w:val="0000"/>
      </w:tblPr>
      <w:tblGrid>
        <w:gridCol w:w="5866"/>
        <w:gridCol w:w="107"/>
        <w:gridCol w:w="1648"/>
        <w:gridCol w:w="1701"/>
      </w:tblGrid>
      <w:tr w:rsidR="004A793D" w:rsidRPr="00777D39" w:rsidTr="00777D39">
        <w:trPr>
          <w:trHeight w:val="275"/>
        </w:trPr>
        <w:tc>
          <w:tcPr>
            <w:tcW w:w="5866" w:type="dxa"/>
            <w:tcBorders>
              <w:top w:val="single" w:sz="4" w:space="0" w:color="auto"/>
              <w:left w:val="single" w:sz="4" w:space="0" w:color="auto"/>
              <w:bottom w:val="nil"/>
            </w:tcBorders>
            <w:shd w:val="clear" w:color="auto" w:fill="FF9900"/>
            <w:vAlign w:val="center"/>
          </w:tcPr>
          <w:p w:rsidR="004A793D" w:rsidRPr="00777D39" w:rsidRDefault="004A793D" w:rsidP="001D7779">
            <w:pPr>
              <w:spacing w:after="0" w:line="240" w:lineRule="auto"/>
              <w:rPr>
                <w:rFonts w:ascii="Arial" w:hAnsi="Arial" w:cs="Arial"/>
                <w:b/>
                <w:bCs/>
                <w:color w:val="002060"/>
                <w:sz w:val="20"/>
                <w:szCs w:val="20"/>
              </w:rPr>
            </w:pPr>
            <w:r w:rsidRPr="00777D39">
              <w:rPr>
                <w:rFonts w:ascii="Arial" w:hAnsi="Arial" w:cs="Arial"/>
                <w:b/>
                <w:bCs/>
                <w:color w:val="002060"/>
                <w:sz w:val="20"/>
                <w:szCs w:val="20"/>
              </w:rPr>
              <w:t>ORANGE ADVANTAGE</w:t>
            </w:r>
          </w:p>
        </w:tc>
        <w:tc>
          <w:tcPr>
            <w:tcW w:w="1755" w:type="dxa"/>
            <w:gridSpan w:val="2"/>
            <w:tcBorders>
              <w:top w:val="single" w:sz="4" w:space="0" w:color="auto"/>
              <w:bottom w:val="nil"/>
            </w:tcBorders>
            <w:shd w:val="clear" w:color="auto" w:fill="FF9900"/>
            <w:vAlign w:val="center"/>
          </w:tcPr>
          <w:p w:rsidR="004A793D" w:rsidRPr="00777D39" w:rsidRDefault="004A793D" w:rsidP="001D7779">
            <w:pPr>
              <w:spacing w:after="0" w:line="240" w:lineRule="auto"/>
              <w:jc w:val="center"/>
              <w:rPr>
                <w:rFonts w:ascii="Arial" w:hAnsi="Arial" w:cs="Arial"/>
                <w:b/>
                <w:color w:val="002060"/>
                <w:sz w:val="20"/>
                <w:szCs w:val="20"/>
              </w:rPr>
            </w:pPr>
            <w:r w:rsidRPr="00777D39">
              <w:rPr>
                <w:rFonts w:ascii="Arial" w:hAnsi="Arial" w:cs="Arial"/>
                <w:b/>
                <w:color w:val="002060"/>
                <w:sz w:val="20"/>
                <w:szCs w:val="20"/>
              </w:rPr>
              <w:t>Interest Rate</w:t>
            </w:r>
          </w:p>
        </w:tc>
        <w:tc>
          <w:tcPr>
            <w:tcW w:w="1701" w:type="dxa"/>
            <w:tcBorders>
              <w:top w:val="single" w:sz="4" w:space="0" w:color="auto"/>
              <w:bottom w:val="nil"/>
              <w:right w:val="single" w:sz="4" w:space="0" w:color="auto"/>
            </w:tcBorders>
            <w:shd w:val="clear" w:color="auto" w:fill="FF9900"/>
            <w:vAlign w:val="center"/>
          </w:tcPr>
          <w:p w:rsidR="004A793D" w:rsidRPr="00777D39" w:rsidRDefault="004A793D" w:rsidP="001D7779">
            <w:pPr>
              <w:spacing w:after="0" w:line="240" w:lineRule="auto"/>
              <w:jc w:val="center"/>
              <w:rPr>
                <w:rFonts w:ascii="Arial" w:hAnsi="Arial" w:cs="Arial"/>
                <w:b/>
                <w:color w:val="002060"/>
                <w:sz w:val="20"/>
                <w:szCs w:val="20"/>
              </w:rPr>
            </w:pPr>
            <w:r w:rsidRPr="00777D39">
              <w:rPr>
                <w:rFonts w:ascii="Arial" w:hAnsi="Arial" w:cs="Arial"/>
                <w:b/>
                <w:color w:val="002060"/>
                <w:sz w:val="20"/>
                <w:szCs w:val="20"/>
              </w:rPr>
              <w:t>Comparison Rate</w:t>
            </w:r>
          </w:p>
        </w:tc>
      </w:tr>
      <w:tr w:rsidR="004A793D" w:rsidRPr="00777D39" w:rsidTr="00777D39">
        <w:trPr>
          <w:trHeight w:val="283"/>
        </w:trPr>
        <w:tc>
          <w:tcPr>
            <w:tcW w:w="5973" w:type="dxa"/>
            <w:gridSpan w:val="2"/>
            <w:tcBorders>
              <w:top w:val="nil"/>
              <w:left w:val="single" w:sz="4" w:space="0" w:color="auto"/>
              <w:bottom w:val="nil"/>
            </w:tcBorders>
            <w:vAlign w:val="center"/>
          </w:tcPr>
          <w:p w:rsidR="004A793D" w:rsidRPr="00777D39" w:rsidRDefault="004A793D" w:rsidP="001D7779">
            <w:pPr>
              <w:spacing w:after="0" w:line="240" w:lineRule="auto"/>
              <w:rPr>
                <w:rFonts w:ascii="Arial" w:hAnsi="Arial" w:cs="Arial"/>
                <w:color w:val="002060"/>
                <w:sz w:val="20"/>
                <w:szCs w:val="20"/>
              </w:rPr>
            </w:pPr>
            <w:r w:rsidRPr="00777D39">
              <w:rPr>
                <w:rFonts w:ascii="Arial" w:hAnsi="Arial" w:cs="Arial"/>
                <w:color w:val="002060"/>
                <w:sz w:val="20"/>
                <w:szCs w:val="20"/>
              </w:rPr>
              <w:t>Aggregate Borrowings &lt;$250k</w:t>
            </w:r>
          </w:p>
        </w:tc>
        <w:tc>
          <w:tcPr>
            <w:tcW w:w="1648" w:type="dxa"/>
            <w:tcBorders>
              <w:top w:val="nil"/>
              <w:bottom w:val="nil"/>
            </w:tcBorders>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6.34% p.a.</w:t>
            </w:r>
          </w:p>
        </w:tc>
        <w:tc>
          <w:tcPr>
            <w:tcW w:w="1701" w:type="dxa"/>
            <w:tcBorders>
              <w:top w:val="nil"/>
              <w:bottom w:val="nil"/>
              <w:right w:val="single" w:sz="4" w:space="0" w:color="auto"/>
            </w:tcBorders>
            <w:noWrap/>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6.52% p.a.</w:t>
            </w:r>
          </w:p>
        </w:tc>
      </w:tr>
      <w:tr w:rsidR="004A793D" w:rsidRPr="00777D39" w:rsidTr="00777D39">
        <w:trPr>
          <w:trHeight w:val="283"/>
        </w:trPr>
        <w:tc>
          <w:tcPr>
            <w:tcW w:w="5973" w:type="dxa"/>
            <w:gridSpan w:val="2"/>
            <w:tcBorders>
              <w:top w:val="nil"/>
              <w:left w:val="single" w:sz="4" w:space="0" w:color="auto"/>
              <w:bottom w:val="nil"/>
            </w:tcBorders>
            <w:vAlign w:val="center"/>
          </w:tcPr>
          <w:p w:rsidR="004A793D" w:rsidRPr="00777D39" w:rsidRDefault="004A793D" w:rsidP="001D7779">
            <w:pPr>
              <w:spacing w:after="0" w:line="240" w:lineRule="auto"/>
              <w:rPr>
                <w:rFonts w:ascii="Arial" w:hAnsi="Arial" w:cs="Arial"/>
                <w:color w:val="002060"/>
                <w:sz w:val="20"/>
                <w:szCs w:val="20"/>
              </w:rPr>
            </w:pPr>
            <w:r w:rsidRPr="00777D39">
              <w:rPr>
                <w:rFonts w:ascii="Arial" w:hAnsi="Arial" w:cs="Arial"/>
                <w:color w:val="002060"/>
                <w:sz w:val="20"/>
                <w:szCs w:val="20"/>
              </w:rPr>
              <w:t>Aggregate Borrowings $250k+</w:t>
            </w:r>
          </w:p>
        </w:tc>
        <w:tc>
          <w:tcPr>
            <w:tcW w:w="1648" w:type="dxa"/>
            <w:tcBorders>
              <w:top w:val="nil"/>
              <w:bottom w:val="nil"/>
            </w:tcBorders>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6.16% p.a.</w:t>
            </w:r>
          </w:p>
        </w:tc>
        <w:tc>
          <w:tcPr>
            <w:tcW w:w="1701" w:type="dxa"/>
            <w:tcBorders>
              <w:top w:val="nil"/>
              <w:bottom w:val="nil"/>
              <w:right w:val="single" w:sz="4" w:space="0" w:color="auto"/>
            </w:tcBorders>
            <w:noWrap/>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6.34% p.a.</w:t>
            </w:r>
          </w:p>
        </w:tc>
      </w:tr>
      <w:tr w:rsidR="004A793D" w:rsidRPr="00777D39" w:rsidTr="00777D39">
        <w:trPr>
          <w:trHeight w:val="283"/>
        </w:trPr>
        <w:tc>
          <w:tcPr>
            <w:tcW w:w="5973" w:type="dxa"/>
            <w:gridSpan w:val="2"/>
            <w:tcBorders>
              <w:top w:val="nil"/>
              <w:left w:val="single" w:sz="4" w:space="0" w:color="auto"/>
              <w:bottom w:val="nil"/>
            </w:tcBorders>
            <w:shd w:val="clear" w:color="auto" w:fill="FFE6CD"/>
            <w:vAlign w:val="center"/>
          </w:tcPr>
          <w:p w:rsidR="004A793D" w:rsidRPr="00777D39" w:rsidRDefault="004A793D" w:rsidP="001D7779">
            <w:pPr>
              <w:spacing w:after="0" w:line="240" w:lineRule="auto"/>
              <w:rPr>
                <w:rFonts w:ascii="Arial" w:hAnsi="Arial" w:cs="Arial"/>
                <w:b/>
                <w:color w:val="002060"/>
                <w:sz w:val="20"/>
                <w:szCs w:val="20"/>
              </w:rPr>
            </w:pPr>
            <w:r w:rsidRPr="00777D39">
              <w:rPr>
                <w:rFonts w:ascii="Arial" w:hAnsi="Arial" w:cs="Arial"/>
                <w:b/>
                <w:color w:val="002060"/>
                <w:sz w:val="20"/>
                <w:szCs w:val="20"/>
              </w:rPr>
              <w:t xml:space="preserve">LVR BASED INTEREST RATES where </w:t>
            </w:r>
            <w:r w:rsidRPr="00777D39">
              <w:rPr>
                <w:rFonts w:ascii="Arial" w:hAnsi="Arial" w:cs="Arial"/>
                <w:b/>
                <w:bCs/>
                <w:color w:val="002060"/>
                <w:sz w:val="20"/>
                <w:szCs w:val="20"/>
              </w:rPr>
              <w:t>LVR is ≤ 80%</w:t>
            </w:r>
            <w:r w:rsidRPr="00777D39">
              <w:rPr>
                <w:rFonts w:ascii="Arial" w:hAnsi="Arial" w:cs="Arial"/>
                <w:b/>
                <w:bCs/>
                <w:color w:val="002060"/>
                <w:sz w:val="20"/>
                <w:szCs w:val="20"/>
                <w:vertAlign w:val="superscript"/>
              </w:rPr>
              <w:t xml:space="preserve"> </w:t>
            </w:r>
            <w:r w:rsidRPr="00777D39">
              <w:rPr>
                <w:rFonts w:ascii="Arial" w:hAnsi="Arial" w:cs="Arial"/>
                <w:bCs/>
                <w:color w:val="002060"/>
                <w:sz w:val="20"/>
                <w:szCs w:val="20"/>
                <w:vertAlign w:val="superscript"/>
              </w:rPr>
              <w:t>1.</w:t>
            </w:r>
          </w:p>
        </w:tc>
        <w:tc>
          <w:tcPr>
            <w:tcW w:w="1648" w:type="dxa"/>
            <w:tcBorders>
              <w:top w:val="nil"/>
              <w:bottom w:val="nil"/>
            </w:tcBorders>
            <w:shd w:val="clear" w:color="auto" w:fill="FFE6CD"/>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 </w:t>
            </w:r>
          </w:p>
        </w:tc>
        <w:tc>
          <w:tcPr>
            <w:tcW w:w="1701" w:type="dxa"/>
            <w:tcBorders>
              <w:top w:val="nil"/>
              <w:bottom w:val="nil"/>
              <w:right w:val="single" w:sz="4" w:space="0" w:color="auto"/>
            </w:tcBorders>
            <w:shd w:val="clear" w:color="auto" w:fill="FFE6CD"/>
            <w:noWrap/>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 </w:t>
            </w:r>
          </w:p>
        </w:tc>
      </w:tr>
      <w:tr w:rsidR="004A793D" w:rsidRPr="00777D39" w:rsidTr="00777D39">
        <w:trPr>
          <w:trHeight w:val="283"/>
        </w:trPr>
        <w:tc>
          <w:tcPr>
            <w:tcW w:w="5973" w:type="dxa"/>
            <w:gridSpan w:val="2"/>
            <w:tcBorders>
              <w:top w:val="nil"/>
              <w:left w:val="single" w:sz="4" w:space="0" w:color="auto"/>
              <w:bottom w:val="nil"/>
            </w:tcBorders>
            <w:shd w:val="clear" w:color="auto" w:fill="FFE6CD"/>
            <w:vAlign w:val="center"/>
          </w:tcPr>
          <w:p w:rsidR="004A793D" w:rsidRPr="00777D39" w:rsidRDefault="004A793D" w:rsidP="001D7779">
            <w:pPr>
              <w:spacing w:after="0" w:line="240" w:lineRule="auto"/>
              <w:rPr>
                <w:rFonts w:ascii="Arial" w:hAnsi="Arial" w:cs="Arial"/>
                <w:color w:val="002060"/>
                <w:sz w:val="20"/>
                <w:szCs w:val="20"/>
              </w:rPr>
            </w:pPr>
            <w:r w:rsidRPr="00777D39">
              <w:rPr>
                <w:rFonts w:ascii="Arial" w:hAnsi="Arial" w:cs="Arial"/>
                <w:color w:val="002060"/>
                <w:sz w:val="20"/>
                <w:szCs w:val="20"/>
              </w:rPr>
              <w:t xml:space="preserve"> Aggregate Borrowings $250k to &lt;$500k</w:t>
            </w:r>
          </w:p>
        </w:tc>
        <w:tc>
          <w:tcPr>
            <w:tcW w:w="1648" w:type="dxa"/>
            <w:tcBorders>
              <w:top w:val="nil"/>
              <w:bottom w:val="nil"/>
            </w:tcBorders>
            <w:shd w:val="clear" w:color="auto" w:fill="FFE6CD"/>
            <w:vAlign w:val="center"/>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5.98% p.a.</w:t>
            </w:r>
          </w:p>
        </w:tc>
        <w:tc>
          <w:tcPr>
            <w:tcW w:w="1701" w:type="dxa"/>
            <w:tcBorders>
              <w:top w:val="nil"/>
              <w:bottom w:val="nil"/>
              <w:right w:val="single" w:sz="4" w:space="0" w:color="auto"/>
            </w:tcBorders>
            <w:shd w:val="clear" w:color="auto" w:fill="FFE6CD"/>
            <w:noWrap/>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6.16% p.a.</w:t>
            </w:r>
          </w:p>
        </w:tc>
      </w:tr>
      <w:tr w:rsidR="004A793D" w:rsidRPr="00777D39" w:rsidTr="00777D39">
        <w:trPr>
          <w:trHeight w:val="283"/>
        </w:trPr>
        <w:tc>
          <w:tcPr>
            <w:tcW w:w="5973" w:type="dxa"/>
            <w:gridSpan w:val="2"/>
            <w:tcBorders>
              <w:top w:val="nil"/>
              <w:left w:val="single" w:sz="4" w:space="0" w:color="auto"/>
              <w:bottom w:val="single" w:sz="4" w:space="0" w:color="auto"/>
            </w:tcBorders>
            <w:shd w:val="clear" w:color="auto" w:fill="FFE6CD"/>
            <w:vAlign w:val="center"/>
          </w:tcPr>
          <w:p w:rsidR="004A793D" w:rsidRPr="00777D39" w:rsidRDefault="004A793D" w:rsidP="001D7779">
            <w:pPr>
              <w:spacing w:after="0" w:line="240" w:lineRule="auto"/>
              <w:rPr>
                <w:rFonts w:ascii="Arial" w:hAnsi="Arial" w:cs="Arial"/>
                <w:color w:val="002060"/>
                <w:sz w:val="20"/>
                <w:szCs w:val="20"/>
              </w:rPr>
            </w:pPr>
            <w:r w:rsidRPr="00777D39">
              <w:rPr>
                <w:rFonts w:ascii="Arial" w:hAnsi="Arial" w:cs="Arial"/>
                <w:color w:val="002060"/>
                <w:sz w:val="20"/>
                <w:szCs w:val="20"/>
              </w:rPr>
              <w:t xml:space="preserve"> Aggregate Borrowings $500k+</w:t>
            </w:r>
          </w:p>
        </w:tc>
        <w:tc>
          <w:tcPr>
            <w:tcW w:w="1648" w:type="dxa"/>
            <w:tcBorders>
              <w:top w:val="nil"/>
              <w:bottom w:val="single" w:sz="4" w:space="0" w:color="auto"/>
            </w:tcBorders>
            <w:shd w:val="clear" w:color="auto" w:fill="FFE6CD"/>
            <w:vAlign w:val="center"/>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5.88% p.a.</w:t>
            </w:r>
          </w:p>
        </w:tc>
        <w:tc>
          <w:tcPr>
            <w:tcW w:w="1701" w:type="dxa"/>
            <w:tcBorders>
              <w:top w:val="nil"/>
              <w:bottom w:val="single" w:sz="4" w:space="0" w:color="auto"/>
              <w:right w:val="single" w:sz="4" w:space="0" w:color="auto"/>
            </w:tcBorders>
            <w:shd w:val="clear" w:color="auto" w:fill="FFE6CD"/>
            <w:noWrap/>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6.06% p.a.</w:t>
            </w:r>
          </w:p>
        </w:tc>
      </w:tr>
      <w:tr w:rsidR="004A793D" w:rsidRPr="00777D39" w:rsidTr="00777D39">
        <w:trPr>
          <w:trHeight w:val="271"/>
        </w:trPr>
        <w:tc>
          <w:tcPr>
            <w:tcW w:w="5973" w:type="dxa"/>
            <w:gridSpan w:val="2"/>
            <w:tcBorders>
              <w:top w:val="single" w:sz="4" w:space="0" w:color="auto"/>
              <w:left w:val="single" w:sz="4" w:space="0" w:color="auto"/>
              <w:bottom w:val="nil"/>
            </w:tcBorders>
            <w:shd w:val="clear" w:color="auto" w:fill="FF9900"/>
            <w:vAlign w:val="center"/>
          </w:tcPr>
          <w:p w:rsidR="004A793D" w:rsidRPr="00777D39" w:rsidRDefault="004A793D" w:rsidP="001D7779">
            <w:pPr>
              <w:spacing w:after="0" w:line="240" w:lineRule="auto"/>
              <w:rPr>
                <w:rFonts w:ascii="Arial" w:hAnsi="Arial" w:cs="Arial"/>
                <w:b/>
                <w:bCs/>
                <w:color w:val="002060"/>
                <w:sz w:val="20"/>
                <w:szCs w:val="20"/>
              </w:rPr>
            </w:pPr>
            <w:r w:rsidRPr="00777D39">
              <w:rPr>
                <w:rFonts w:ascii="Arial" w:hAnsi="Arial" w:cs="Arial"/>
                <w:b/>
                <w:bCs/>
                <w:color w:val="002060"/>
                <w:sz w:val="20"/>
                <w:szCs w:val="20"/>
              </w:rPr>
              <w:t>SMARTPACK MORTGAGE SIMPLIFIER *</w:t>
            </w:r>
          </w:p>
        </w:tc>
        <w:tc>
          <w:tcPr>
            <w:tcW w:w="1648" w:type="dxa"/>
            <w:tcBorders>
              <w:top w:val="single" w:sz="4" w:space="0" w:color="auto"/>
              <w:bottom w:val="nil"/>
            </w:tcBorders>
            <w:shd w:val="clear" w:color="auto" w:fill="FF9900"/>
            <w:vAlign w:val="center"/>
          </w:tcPr>
          <w:p w:rsidR="004A793D" w:rsidRPr="00777D39" w:rsidRDefault="004A793D" w:rsidP="001D7779">
            <w:pPr>
              <w:spacing w:after="0" w:line="240" w:lineRule="auto"/>
              <w:jc w:val="center"/>
              <w:rPr>
                <w:rFonts w:ascii="Arial" w:hAnsi="Arial" w:cs="Arial"/>
                <w:b/>
                <w:color w:val="002060"/>
                <w:sz w:val="20"/>
                <w:szCs w:val="20"/>
              </w:rPr>
            </w:pPr>
            <w:r w:rsidRPr="00777D39">
              <w:rPr>
                <w:rFonts w:ascii="Arial" w:hAnsi="Arial" w:cs="Arial"/>
                <w:b/>
                <w:color w:val="002060"/>
                <w:sz w:val="20"/>
                <w:szCs w:val="20"/>
              </w:rPr>
              <w:t>Interest Rate</w:t>
            </w:r>
          </w:p>
        </w:tc>
        <w:tc>
          <w:tcPr>
            <w:tcW w:w="1701" w:type="dxa"/>
            <w:tcBorders>
              <w:top w:val="single" w:sz="4" w:space="0" w:color="auto"/>
              <w:bottom w:val="nil"/>
              <w:right w:val="single" w:sz="4" w:space="0" w:color="auto"/>
            </w:tcBorders>
            <w:shd w:val="clear" w:color="auto" w:fill="FF9900"/>
            <w:vAlign w:val="center"/>
          </w:tcPr>
          <w:p w:rsidR="004A793D" w:rsidRPr="00777D39" w:rsidRDefault="004A793D" w:rsidP="001D7779">
            <w:pPr>
              <w:spacing w:after="0" w:line="240" w:lineRule="auto"/>
              <w:jc w:val="center"/>
              <w:rPr>
                <w:rFonts w:ascii="Arial" w:hAnsi="Arial" w:cs="Arial"/>
                <w:b/>
                <w:color w:val="002060"/>
                <w:sz w:val="20"/>
                <w:szCs w:val="20"/>
              </w:rPr>
            </w:pPr>
            <w:r w:rsidRPr="00777D39">
              <w:rPr>
                <w:rFonts w:ascii="Arial" w:hAnsi="Arial" w:cs="Arial"/>
                <w:b/>
                <w:color w:val="002060"/>
                <w:sz w:val="20"/>
                <w:szCs w:val="20"/>
              </w:rPr>
              <w:t>Comparison Rate</w:t>
            </w:r>
          </w:p>
        </w:tc>
      </w:tr>
      <w:tr w:rsidR="004A793D" w:rsidRPr="00777D39" w:rsidTr="00777D39">
        <w:trPr>
          <w:trHeight w:val="283"/>
        </w:trPr>
        <w:tc>
          <w:tcPr>
            <w:tcW w:w="5973" w:type="dxa"/>
            <w:gridSpan w:val="2"/>
            <w:tcBorders>
              <w:top w:val="nil"/>
              <w:left w:val="single" w:sz="4" w:space="0" w:color="auto"/>
              <w:bottom w:val="nil"/>
            </w:tcBorders>
            <w:vAlign w:val="center"/>
          </w:tcPr>
          <w:p w:rsidR="004A793D" w:rsidRPr="00777D39" w:rsidRDefault="004A793D" w:rsidP="001D7779">
            <w:pPr>
              <w:spacing w:after="0" w:line="240" w:lineRule="auto"/>
              <w:rPr>
                <w:rFonts w:ascii="Arial" w:hAnsi="Arial" w:cs="Arial"/>
                <w:color w:val="002060"/>
                <w:sz w:val="20"/>
                <w:szCs w:val="20"/>
              </w:rPr>
            </w:pPr>
            <w:r w:rsidRPr="00777D39">
              <w:rPr>
                <w:rFonts w:ascii="Arial" w:hAnsi="Arial" w:cs="Arial"/>
                <w:color w:val="002060"/>
                <w:sz w:val="20"/>
                <w:szCs w:val="20"/>
              </w:rPr>
              <w:t>Aggregate Borrowings $250k+</w:t>
            </w:r>
          </w:p>
        </w:tc>
        <w:tc>
          <w:tcPr>
            <w:tcW w:w="1648" w:type="dxa"/>
            <w:tcBorders>
              <w:top w:val="nil"/>
              <w:bottom w:val="nil"/>
            </w:tcBorders>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6.16% p.a.</w:t>
            </w:r>
          </w:p>
        </w:tc>
        <w:tc>
          <w:tcPr>
            <w:tcW w:w="1701" w:type="dxa"/>
            <w:tcBorders>
              <w:top w:val="nil"/>
              <w:bottom w:val="nil"/>
              <w:right w:val="single" w:sz="4" w:space="0" w:color="auto"/>
            </w:tcBorders>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6.20% p.a.</w:t>
            </w:r>
          </w:p>
        </w:tc>
      </w:tr>
      <w:tr w:rsidR="004A793D" w:rsidRPr="00777D39" w:rsidTr="00777D39">
        <w:trPr>
          <w:trHeight w:val="283"/>
        </w:trPr>
        <w:tc>
          <w:tcPr>
            <w:tcW w:w="5973" w:type="dxa"/>
            <w:gridSpan w:val="2"/>
            <w:tcBorders>
              <w:top w:val="nil"/>
              <w:left w:val="single" w:sz="4" w:space="0" w:color="auto"/>
              <w:bottom w:val="nil"/>
            </w:tcBorders>
            <w:shd w:val="clear" w:color="auto" w:fill="FFE6CD"/>
            <w:vAlign w:val="center"/>
          </w:tcPr>
          <w:p w:rsidR="004A793D" w:rsidRPr="00777D39" w:rsidRDefault="004A793D" w:rsidP="001D7779">
            <w:pPr>
              <w:spacing w:after="0" w:line="240" w:lineRule="auto"/>
              <w:rPr>
                <w:rFonts w:ascii="Arial" w:hAnsi="Arial" w:cs="Arial"/>
                <w:b/>
                <w:color w:val="002060"/>
                <w:sz w:val="20"/>
                <w:szCs w:val="20"/>
              </w:rPr>
            </w:pPr>
            <w:r w:rsidRPr="00777D39">
              <w:rPr>
                <w:rFonts w:ascii="Arial" w:hAnsi="Arial" w:cs="Arial"/>
                <w:b/>
                <w:color w:val="002060"/>
                <w:sz w:val="20"/>
                <w:szCs w:val="20"/>
              </w:rPr>
              <w:t xml:space="preserve">LVR BASED INTEREST RATES where </w:t>
            </w:r>
            <w:r w:rsidRPr="00777D39">
              <w:rPr>
                <w:rFonts w:ascii="Arial" w:hAnsi="Arial" w:cs="Arial"/>
                <w:b/>
                <w:bCs/>
                <w:color w:val="002060"/>
                <w:sz w:val="20"/>
                <w:szCs w:val="20"/>
              </w:rPr>
              <w:t>LVR is ≤ 80%</w:t>
            </w:r>
            <w:r w:rsidRPr="00777D39">
              <w:rPr>
                <w:rFonts w:ascii="Arial" w:hAnsi="Arial" w:cs="Arial"/>
                <w:bCs/>
                <w:color w:val="002060"/>
                <w:sz w:val="20"/>
                <w:szCs w:val="20"/>
                <w:vertAlign w:val="superscript"/>
              </w:rPr>
              <w:t xml:space="preserve"> 1.</w:t>
            </w:r>
          </w:p>
        </w:tc>
        <w:tc>
          <w:tcPr>
            <w:tcW w:w="1648" w:type="dxa"/>
            <w:tcBorders>
              <w:top w:val="nil"/>
              <w:bottom w:val="nil"/>
            </w:tcBorders>
            <w:shd w:val="clear" w:color="auto" w:fill="FFE6CD"/>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 </w:t>
            </w:r>
          </w:p>
        </w:tc>
        <w:tc>
          <w:tcPr>
            <w:tcW w:w="1701" w:type="dxa"/>
            <w:tcBorders>
              <w:top w:val="nil"/>
              <w:bottom w:val="nil"/>
              <w:right w:val="single" w:sz="4" w:space="0" w:color="auto"/>
            </w:tcBorders>
            <w:shd w:val="clear" w:color="auto" w:fill="FFE6CD"/>
            <w:noWrap/>
            <w:vAlign w:val="bottom"/>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 </w:t>
            </w:r>
          </w:p>
        </w:tc>
      </w:tr>
      <w:tr w:rsidR="004A793D" w:rsidRPr="00777D39" w:rsidTr="00777D39">
        <w:trPr>
          <w:trHeight w:val="283"/>
        </w:trPr>
        <w:tc>
          <w:tcPr>
            <w:tcW w:w="5973" w:type="dxa"/>
            <w:gridSpan w:val="2"/>
            <w:tcBorders>
              <w:top w:val="nil"/>
              <w:left w:val="single" w:sz="4" w:space="0" w:color="auto"/>
              <w:bottom w:val="nil"/>
            </w:tcBorders>
            <w:shd w:val="clear" w:color="auto" w:fill="FFE6CD"/>
            <w:vAlign w:val="center"/>
          </w:tcPr>
          <w:p w:rsidR="004A793D" w:rsidRPr="00777D39" w:rsidRDefault="004A793D" w:rsidP="001D7779">
            <w:pPr>
              <w:spacing w:after="0" w:line="240" w:lineRule="auto"/>
              <w:rPr>
                <w:rFonts w:ascii="Arial" w:hAnsi="Arial" w:cs="Arial"/>
                <w:color w:val="002060"/>
                <w:sz w:val="20"/>
                <w:szCs w:val="20"/>
              </w:rPr>
            </w:pPr>
            <w:r w:rsidRPr="00777D39">
              <w:rPr>
                <w:rFonts w:ascii="Arial" w:hAnsi="Arial" w:cs="Arial"/>
                <w:color w:val="002060"/>
                <w:sz w:val="20"/>
                <w:szCs w:val="20"/>
              </w:rPr>
              <w:t>Aggregate Borrowings $250k to &lt;$500k</w:t>
            </w:r>
          </w:p>
        </w:tc>
        <w:tc>
          <w:tcPr>
            <w:tcW w:w="1648" w:type="dxa"/>
            <w:tcBorders>
              <w:top w:val="nil"/>
              <w:bottom w:val="nil"/>
            </w:tcBorders>
            <w:shd w:val="clear" w:color="auto" w:fill="FFE6CD"/>
            <w:vAlign w:val="center"/>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5.98% p.a.</w:t>
            </w:r>
          </w:p>
        </w:tc>
        <w:tc>
          <w:tcPr>
            <w:tcW w:w="1701" w:type="dxa"/>
            <w:tcBorders>
              <w:top w:val="nil"/>
              <w:bottom w:val="nil"/>
              <w:right w:val="single" w:sz="4" w:space="0" w:color="auto"/>
            </w:tcBorders>
            <w:shd w:val="clear" w:color="auto" w:fill="FFE6CD"/>
            <w:noWrap/>
            <w:vAlign w:val="center"/>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6.02% p.a.</w:t>
            </w:r>
          </w:p>
        </w:tc>
      </w:tr>
      <w:tr w:rsidR="004A793D" w:rsidRPr="00777D39" w:rsidTr="00777D39">
        <w:trPr>
          <w:trHeight w:val="283"/>
        </w:trPr>
        <w:tc>
          <w:tcPr>
            <w:tcW w:w="5973" w:type="dxa"/>
            <w:gridSpan w:val="2"/>
            <w:tcBorders>
              <w:top w:val="nil"/>
              <w:left w:val="single" w:sz="4" w:space="0" w:color="auto"/>
              <w:bottom w:val="single" w:sz="4" w:space="0" w:color="auto"/>
            </w:tcBorders>
            <w:shd w:val="clear" w:color="auto" w:fill="FFE6CD"/>
            <w:vAlign w:val="center"/>
          </w:tcPr>
          <w:p w:rsidR="004A793D" w:rsidRPr="00777D39" w:rsidRDefault="004A793D" w:rsidP="001D7779">
            <w:pPr>
              <w:spacing w:after="0" w:line="240" w:lineRule="auto"/>
              <w:rPr>
                <w:rFonts w:ascii="Arial" w:hAnsi="Arial" w:cs="Arial"/>
                <w:color w:val="002060"/>
                <w:sz w:val="20"/>
                <w:szCs w:val="20"/>
              </w:rPr>
            </w:pPr>
            <w:r w:rsidRPr="00777D39">
              <w:rPr>
                <w:rFonts w:ascii="Arial" w:hAnsi="Arial" w:cs="Arial"/>
                <w:color w:val="002060"/>
                <w:sz w:val="20"/>
                <w:szCs w:val="20"/>
              </w:rPr>
              <w:t>Aggregate Borrowings $500k+</w:t>
            </w:r>
          </w:p>
        </w:tc>
        <w:tc>
          <w:tcPr>
            <w:tcW w:w="1648" w:type="dxa"/>
            <w:tcBorders>
              <w:top w:val="nil"/>
              <w:bottom w:val="single" w:sz="4" w:space="0" w:color="auto"/>
            </w:tcBorders>
            <w:shd w:val="clear" w:color="auto" w:fill="FFE6CD"/>
            <w:vAlign w:val="center"/>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5.88% p.a.</w:t>
            </w:r>
          </w:p>
        </w:tc>
        <w:tc>
          <w:tcPr>
            <w:tcW w:w="1701" w:type="dxa"/>
            <w:tcBorders>
              <w:top w:val="nil"/>
              <w:bottom w:val="single" w:sz="4" w:space="0" w:color="auto"/>
              <w:right w:val="single" w:sz="4" w:space="0" w:color="auto"/>
            </w:tcBorders>
            <w:shd w:val="clear" w:color="auto" w:fill="FFE6CD"/>
            <w:noWrap/>
            <w:vAlign w:val="center"/>
          </w:tcPr>
          <w:p w:rsidR="004A793D" w:rsidRPr="00777D39" w:rsidRDefault="004A793D" w:rsidP="001D7779">
            <w:pPr>
              <w:spacing w:after="0" w:line="240" w:lineRule="auto"/>
              <w:jc w:val="center"/>
              <w:rPr>
                <w:rFonts w:ascii="Arial" w:hAnsi="Arial" w:cs="Arial"/>
                <w:color w:val="002060"/>
                <w:sz w:val="20"/>
                <w:szCs w:val="20"/>
              </w:rPr>
            </w:pPr>
            <w:r w:rsidRPr="00777D39">
              <w:rPr>
                <w:rFonts w:ascii="Arial" w:hAnsi="Arial" w:cs="Arial"/>
                <w:color w:val="002060"/>
                <w:sz w:val="20"/>
                <w:szCs w:val="20"/>
              </w:rPr>
              <w:t>5.92% p.a.</w:t>
            </w:r>
          </w:p>
        </w:tc>
      </w:tr>
      <w:tr w:rsidR="004A793D" w:rsidRPr="00777D39" w:rsidTr="00777D39">
        <w:trPr>
          <w:trHeight w:val="296"/>
        </w:trPr>
        <w:tc>
          <w:tcPr>
            <w:tcW w:w="9322" w:type="dxa"/>
            <w:gridSpan w:val="4"/>
            <w:tcBorders>
              <w:top w:val="single" w:sz="4" w:space="0" w:color="auto"/>
              <w:bottom w:val="nil"/>
            </w:tcBorders>
            <w:vAlign w:val="center"/>
          </w:tcPr>
          <w:p w:rsidR="004A793D" w:rsidRPr="00777D39" w:rsidRDefault="004A793D" w:rsidP="001D7779">
            <w:pPr>
              <w:spacing w:after="0" w:line="240" w:lineRule="auto"/>
              <w:jc w:val="both"/>
              <w:rPr>
                <w:rFonts w:ascii="Arial" w:hAnsi="Arial" w:cs="Arial"/>
                <w:color w:val="002060"/>
                <w:sz w:val="16"/>
                <w:szCs w:val="16"/>
              </w:rPr>
            </w:pPr>
            <w:r w:rsidRPr="00777D39">
              <w:rPr>
                <w:rFonts w:ascii="Arial" w:hAnsi="Arial" w:cs="Arial"/>
                <w:color w:val="002060"/>
                <w:sz w:val="16"/>
                <w:szCs w:val="16"/>
              </w:rPr>
              <w:t>Information is current as at the date of this update and is subject to change.</w:t>
            </w:r>
            <w:r w:rsidRPr="00777D39">
              <w:rPr>
                <w:rFonts w:ascii="Arial" w:hAnsi="Arial" w:cs="Arial"/>
                <w:iCs/>
                <w:color w:val="002060"/>
                <w:sz w:val="16"/>
                <w:szCs w:val="16"/>
              </w:rPr>
              <w:t xml:space="preserve"> The comparison rates are based on a loan amount of $150,000 over a loan term of 25 years. WARNING: The comparison rates are true only for the examples given and may not include all fees and charges. Different terms, fees or other loan amounts might result in different comparison rates. ING DIRECT is a division of ING Bank (</w:t>
            </w:r>
            <w:smartTag w:uri="urn:schemas-microsoft-com:office:smarttags" w:element="country-region">
              <w:smartTag w:uri="urn:schemas-microsoft-com:office:smarttags" w:element="place">
                <w:r w:rsidRPr="00777D39">
                  <w:rPr>
                    <w:rFonts w:ascii="Arial" w:hAnsi="Arial" w:cs="Arial"/>
                    <w:iCs/>
                    <w:color w:val="002060"/>
                    <w:sz w:val="16"/>
                    <w:szCs w:val="16"/>
                  </w:rPr>
                  <w:t>Australia</w:t>
                </w:r>
              </w:smartTag>
            </w:smartTag>
            <w:r w:rsidRPr="00777D39">
              <w:rPr>
                <w:rFonts w:ascii="Arial" w:hAnsi="Arial" w:cs="Arial"/>
                <w:iCs/>
                <w:color w:val="002060"/>
                <w:sz w:val="16"/>
                <w:szCs w:val="16"/>
              </w:rPr>
              <w:t>) Limited ABN 24 000 893 292. AFSL and Australian Credit Licence Number 229823. Aggregate borrowing refers to total residential ING DIRECT borrowings, excluding lo-doc loans. * Interest rate discounts under SmartPack available when borrowing $250,000 or more in aggregate. SmartPack fee applies. 1. LVR based interest rates apply to new loans with a new security property only. LVR based interest rates do not apply to applications for fixed rate or construction loans.</w:t>
            </w:r>
          </w:p>
        </w:tc>
      </w:tr>
    </w:tbl>
    <w:p w:rsidR="004A793D" w:rsidRDefault="004A793D" w:rsidP="00D02FC3">
      <w:pPr>
        <w:widowControl w:val="0"/>
        <w:tabs>
          <w:tab w:val="left" w:pos="2520"/>
          <w:tab w:val="left" w:pos="5760"/>
        </w:tabs>
        <w:rPr>
          <w:rFonts w:ascii="Arial" w:hAnsi="Arial" w:cs="Arial"/>
          <w:sz w:val="20"/>
          <w:szCs w:val="20"/>
        </w:rPr>
      </w:pPr>
    </w:p>
    <w:p w:rsidR="004A793D" w:rsidRDefault="004A793D" w:rsidP="00386C7B">
      <w:pPr>
        <w:widowControl w:val="0"/>
        <w:tabs>
          <w:tab w:val="left" w:pos="2520"/>
          <w:tab w:val="left" w:pos="5760"/>
        </w:tabs>
        <w:spacing w:after="0"/>
        <w:jc w:val="center"/>
        <w:rPr>
          <w:rFonts w:ascii="Arial" w:hAnsi="Arial" w:cs="Arial"/>
          <w:i/>
          <w:sz w:val="20"/>
          <w:szCs w:val="20"/>
        </w:rPr>
      </w:pPr>
      <w:r w:rsidRPr="00CD573C">
        <w:rPr>
          <w:rFonts w:ascii="Arial" w:hAnsi="Arial" w:cs="Arial"/>
          <w:i/>
          <w:sz w:val="20"/>
          <w:szCs w:val="20"/>
        </w:rPr>
        <w:t>-ENDS-</w:t>
      </w:r>
    </w:p>
    <w:p w:rsidR="006355CD" w:rsidRDefault="006355CD" w:rsidP="002659E5">
      <w:pPr>
        <w:widowControl w:val="0"/>
        <w:tabs>
          <w:tab w:val="left" w:pos="2520"/>
          <w:tab w:val="left" w:pos="5760"/>
        </w:tabs>
        <w:spacing w:after="0"/>
        <w:rPr>
          <w:rFonts w:ascii="Arial" w:hAnsi="Arial" w:cs="Arial"/>
          <w:b/>
          <w:sz w:val="20"/>
          <w:szCs w:val="20"/>
        </w:rPr>
      </w:pPr>
    </w:p>
    <w:p w:rsidR="004A793D" w:rsidRPr="002659E5" w:rsidRDefault="004A793D" w:rsidP="002659E5">
      <w:pPr>
        <w:widowControl w:val="0"/>
        <w:tabs>
          <w:tab w:val="left" w:pos="2520"/>
          <w:tab w:val="left" w:pos="5760"/>
        </w:tabs>
        <w:spacing w:after="0"/>
        <w:rPr>
          <w:rFonts w:ascii="Arial" w:hAnsi="Arial" w:cs="Arial"/>
          <w:b/>
          <w:sz w:val="20"/>
          <w:szCs w:val="20"/>
        </w:rPr>
      </w:pPr>
      <w:r w:rsidRPr="009914EF">
        <w:rPr>
          <w:rFonts w:ascii="Arial" w:hAnsi="Arial" w:cs="Arial"/>
          <w:b/>
          <w:sz w:val="20"/>
          <w:szCs w:val="20"/>
        </w:rPr>
        <w:t>For photos of</w:t>
      </w:r>
      <w:r>
        <w:t xml:space="preserve"> </w:t>
      </w:r>
      <w:hyperlink r:id="rId7" w:history="1">
        <w:r w:rsidRPr="00891444">
          <w:rPr>
            <w:rStyle w:val="Hyperlink"/>
            <w:rFonts w:ascii="Arial" w:hAnsi="Arial" w:cs="Arial"/>
            <w:b/>
            <w:sz w:val="20"/>
            <w:szCs w:val="20"/>
          </w:rPr>
          <w:t>Mark Woolnough</w:t>
        </w:r>
      </w:hyperlink>
      <w:r w:rsidRPr="00891444">
        <w:rPr>
          <w:rFonts w:ascii="Arial" w:hAnsi="Arial" w:cs="Arial"/>
          <w:b/>
          <w:sz w:val="20"/>
          <w:szCs w:val="20"/>
        </w:rPr>
        <w:t>,</w:t>
      </w:r>
      <w:r w:rsidRPr="009914EF">
        <w:rPr>
          <w:rFonts w:ascii="Arial" w:hAnsi="Arial" w:cs="Arial"/>
          <w:b/>
          <w:sz w:val="20"/>
          <w:szCs w:val="20"/>
        </w:rPr>
        <w:t xml:space="preserve"> please</w:t>
      </w:r>
      <w:r>
        <w:rPr>
          <w:rFonts w:ascii="Arial" w:hAnsi="Arial" w:cs="Arial"/>
          <w:b/>
          <w:sz w:val="20"/>
          <w:szCs w:val="20"/>
        </w:rPr>
        <w:t xml:space="preserve"> visit the ING DIRECT </w:t>
      </w:r>
      <w:hyperlink r:id="rId8" w:history="1">
        <w:r w:rsidRPr="00956E23">
          <w:rPr>
            <w:rStyle w:val="Hyperlink"/>
            <w:rFonts w:ascii="Arial" w:hAnsi="Arial" w:cs="Arial"/>
            <w:b/>
            <w:sz w:val="20"/>
            <w:szCs w:val="20"/>
          </w:rPr>
          <w:t>Online Newsroom</w:t>
        </w:r>
      </w:hyperlink>
      <w:r>
        <w:rPr>
          <w:rFonts w:ascii="Arial" w:hAnsi="Arial" w:cs="Arial"/>
          <w:b/>
          <w:sz w:val="20"/>
          <w:szCs w:val="20"/>
        </w:rPr>
        <w:t xml:space="preserve">. </w:t>
      </w:r>
    </w:p>
    <w:p w:rsidR="004A793D" w:rsidRDefault="004A793D" w:rsidP="002A529A">
      <w:pPr>
        <w:widowControl w:val="0"/>
        <w:tabs>
          <w:tab w:val="left" w:pos="2520"/>
          <w:tab w:val="left" w:pos="5760"/>
        </w:tabs>
        <w:spacing w:after="0"/>
        <w:jc w:val="both"/>
        <w:rPr>
          <w:rFonts w:ascii="Arial" w:hAnsi="Arial" w:cs="Arial"/>
          <w:sz w:val="20"/>
          <w:szCs w:val="20"/>
        </w:rPr>
      </w:pPr>
    </w:p>
    <w:p w:rsidR="004A793D" w:rsidRPr="00386C7B" w:rsidRDefault="004A793D" w:rsidP="002A529A">
      <w:pPr>
        <w:widowControl w:val="0"/>
        <w:tabs>
          <w:tab w:val="left" w:pos="2520"/>
          <w:tab w:val="left" w:pos="5760"/>
        </w:tabs>
        <w:spacing w:after="0"/>
        <w:jc w:val="both"/>
        <w:rPr>
          <w:rFonts w:ascii="Arial" w:hAnsi="Arial" w:cs="Arial"/>
          <w:b/>
          <w:sz w:val="20"/>
          <w:szCs w:val="20"/>
        </w:rPr>
      </w:pPr>
      <w:r>
        <w:rPr>
          <w:rFonts w:ascii="Arial" w:hAnsi="Arial" w:cs="Arial"/>
          <w:sz w:val="20"/>
          <w:szCs w:val="20"/>
        </w:rPr>
        <w:t xml:space="preserve">Media contact: </w:t>
      </w:r>
    </w:p>
    <w:p w:rsidR="004A793D" w:rsidRPr="00386C7B" w:rsidRDefault="004A793D" w:rsidP="002A529A">
      <w:pPr>
        <w:widowControl w:val="0"/>
        <w:tabs>
          <w:tab w:val="left" w:pos="2700"/>
          <w:tab w:val="left" w:pos="5760"/>
        </w:tabs>
        <w:spacing w:after="0"/>
        <w:jc w:val="both"/>
        <w:rPr>
          <w:rFonts w:ascii="Arial" w:hAnsi="Arial" w:cs="Arial"/>
          <w:sz w:val="20"/>
          <w:szCs w:val="20"/>
        </w:rPr>
      </w:pPr>
      <w:r w:rsidRPr="00386C7B">
        <w:rPr>
          <w:rFonts w:ascii="Arial" w:hAnsi="Arial" w:cs="Arial"/>
          <w:sz w:val="20"/>
          <w:szCs w:val="20"/>
        </w:rPr>
        <w:lastRenderedPageBreak/>
        <w:t>Caroline Thomas</w:t>
      </w:r>
    </w:p>
    <w:p w:rsidR="004A793D" w:rsidRPr="00386C7B" w:rsidRDefault="004A793D" w:rsidP="002A529A">
      <w:pPr>
        <w:widowControl w:val="0"/>
        <w:tabs>
          <w:tab w:val="left" w:pos="2700"/>
          <w:tab w:val="left" w:pos="5760"/>
        </w:tabs>
        <w:spacing w:after="0"/>
        <w:jc w:val="both"/>
        <w:rPr>
          <w:rFonts w:ascii="Arial" w:hAnsi="Arial" w:cs="Arial"/>
          <w:sz w:val="20"/>
          <w:szCs w:val="20"/>
        </w:rPr>
      </w:pPr>
      <w:r>
        <w:rPr>
          <w:rFonts w:ascii="Arial" w:hAnsi="Arial" w:cs="Arial"/>
          <w:sz w:val="20"/>
          <w:szCs w:val="20"/>
        </w:rPr>
        <w:t xml:space="preserve">PR Manager, </w:t>
      </w:r>
      <w:r w:rsidRPr="00386C7B">
        <w:rPr>
          <w:rFonts w:ascii="Arial" w:hAnsi="Arial" w:cs="Arial"/>
          <w:sz w:val="20"/>
          <w:szCs w:val="20"/>
        </w:rPr>
        <w:t>ING DIRECT</w:t>
      </w:r>
    </w:p>
    <w:p w:rsidR="004A793D" w:rsidRPr="00727986" w:rsidRDefault="004A793D"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+61 2 9018 5160</w:t>
      </w:r>
    </w:p>
    <w:p w:rsidR="004A793D" w:rsidRPr="00727986" w:rsidRDefault="004A793D"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+61 413 317 225</w:t>
      </w:r>
    </w:p>
    <w:p w:rsidR="004A793D" w:rsidRPr="00745091" w:rsidRDefault="003F383A" w:rsidP="00F13150">
      <w:pPr>
        <w:spacing w:after="0"/>
        <w:rPr>
          <w:lang w:val="nl-NL"/>
        </w:rPr>
      </w:pPr>
      <w:hyperlink r:id="rId9" w:history="1">
        <w:r w:rsidR="004A793D" w:rsidRPr="00F21D42">
          <w:rPr>
            <w:rStyle w:val="Hyperlink"/>
            <w:rFonts w:ascii="Arial" w:hAnsi="Arial" w:cs="Arial"/>
            <w:sz w:val="20"/>
            <w:szCs w:val="20"/>
            <w:lang w:val="nl-NL"/>
          </w:rPr>
          <w:t>caroline.thomas@ingdirect.com.au</w:t>
        </w:r>
      </w:hyperlink>
    </w:p>
    <w:p w:rsidR="004A793D" w:rsidRPr="00CD573C" w:rsidRDefault="004A793D" w:rsidP="00F13150">
      <w:pPr>
        <w:spacing w:after="0"/>
        <w:rPr>
          <w:rFonts w:ascii="Arial" w:hAnsi="Arial" w:cs="Arial"/>
          <w:sz w:val="20"/>
          <w:szCs w:val="20"/>
          <w:lang w:val="nl-NL"/>
        </w:rPr>
      </w:pPr>
    </w:p>
    <w:p w:rsidR="004A793D" w:rsidRDefault="004A793D" w:rsidP="00F13150">
      <w:pPr>
        <w:widowControl w:val="0"/>
        <w:tabs>
          <w:tab w:val="left" w:pos="2520"/>
          <w:tab w:val="left" w:pos="5760"/>
        </w:tabs>
        <w:spacing w:after="0"/>
        <w:jc w:val="both"/>
        <w:rPr>
          <w:rFonts w:ascii="Arial" w:hAnsi="Arial" w:cs="Arial"/>
          <w:b/>
          <w:sz w:val="20"/>
          <w:szCs w:val="20"/>
          <w:lang w:val="nl-NL"/>
        </w:rPr>
      </w:pPr>
    </w:p>
    <w:p w:rsidR="004A793D" w:rsidRDefault="004A793D" w:rsidP="00F13150">
      <w:pPr>
        <w:widowControl w:val="0"/>
        <w:tabs>
          <w:tab w:val="left" w:pos="2520"/>
          <w:tab w:val="left" w:pos="5760"/>
        </w:tabs>
        <w:spacing w:after="0"/>
        <w:jc w:val="both"/>
        <w:rPr>
          <w:rFonts w:ascii="Arial" w:hAnsi="Arial" w:cs="Arial"/>
          <w:b/>
          <w:sz w:val="20"/>
          <w:szCs w:val="20"/>
          <w:lang w:val="nl-NL"/>
        </w:rPr>
      </w:pPr>
    </w:p>
    <w:p w:rsidR="004A793D" w:rsidRPr="00727986" w:rsidRDefault="004A793D" w:rsidP="00F13150">
      <w:pPr>
        <w:widowControl w:val="0"/>
        <w:tabs>
          <w:tab w:val="left" w:pos="2520"/>
          <w:tab w:val="left" w:pos="5760"/>
        </w:tabs>
        <w:spacing w:after="0"/>
        <w:jc w:val="both"/>
        <w:rPr>
          <w:rFonts w:ascii="Arial" w:hAnsi="Arial" w:cs="Arial"/>
          <w:b/>
          <w:sz w:val="20"/>
          <w:szCs w:val="20"/>
          <w:lang w:val="nl-NL"/>
        </w:rPr>
      </w:pPr>
      <w:r w:rsidRPr="00F21D42">
        <w:rPr>
          <w:rFonts w:ascii="Arial" w:hAnsi="Arial" w:cs="Arial"/>
          <w:b/>
          <w:sz w:val="20"/>
          <w:szCs w:val="20"/>
          <w:lang w:val="nl-NL"/>
        </w:rPr>
        <w:t>About ING DIRECT</w:t>
      </w:r>
    </w:p>
    <w:p w:rsidR="004A793D" w:rsidRPr="00386C7B" w:rsidRDefault="004A793D" w:rsidP="00F13150">
      <w:pPr>
        <w:spacing w:after="0" w:line="240" w:lineRule="auto"/>
        <w:rPr>
          <w:rFonts w:ascii="Arial" w:hAnsi="Arial" w:cs="Arial"/>
          <w:sz w:val="20"/>
          <w:szCs w:val="20"/>
        </w:rPr>
      </w:pPr>
      <w:r w:rsidRPr="00386C7B">
        <w:rPr>
          <w:rFonts w:ascii="Arial" w:hAnsi="Arial" w:cs="Arial"/>
          <w:sz w:val="20"/>
          <w:szCs w:val="20"/>
        </w:rPr>
        <w:t xml:space="preserve">ING DIRECT pioneered branchless banking in </w:t>
      </w:r>
      <w:smartTag w:uri="urn:schemas-microsoft-com:office:smarttags" w:element="country-region">
        <w:smartTag w:uri="urn:schemas-microsoft-com:office:smarttags" w:element="place">
          <w:r w:rsidRPr="00386C7B">
            <w:rPr>
              <w:rFonts w:ascii="Arial" w:hAnsi="Arial" w:cs="Arial"/>
              <w:sz w:val="20"/>
              <w:szCs w:val="20"/>
            </w:rPr>
            <w:t>Australia</w:t>
          </w:r>
        </w:smartTag>
      </w:smartTag>
      <w:r w:rsidRPr="00386C7B">
        <w:rPr>
          <w:rFonts w:ascii="Arial" w:hAnsi="Arial" w:cs="Arial"/>
          <w:sz w:val="20"/>
          <w:szCs w:val="20"/>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$26 billion in deposits and $38 billion in mortgages and a range of innovative banking products.</w:t>
      </w:r>
    </w:p>
    <w:p w:rsidR="004A793D" w:rsidRPr="00386C7B" w:rsidRDefault="004A793D" w:rsidP="00F13150">
      <w:pPr>
        <w:autoSpaceDE w:val="0"/>
        <w:autoSpaceDN w:val="0"/>
        <w:spacing w:after="0" w:line="240" w:lineRule="auto"/>
        <w:ind w:right="318"/>
        <w:rPr>
          <w:rFonts w:ascii="Arial" w:hAnsi="Arial" w:cs="Arial"/>
          <w:b/>
          <w:sz w:val="20"/>
          <w:szCs w:val="20"/>
        </w:rPr>
      </w:pPr>
      <w:r w:rsidRPr="00386C7B">
        <w:rPr>
          <w:rFonts w:ascii="Arial" w:hAnsi="Arial" w:cs="Arial"/>
          <w:b/>
          <w:sz w:val="20"/>
          <w:szCs w:val="20"/>
        </w:rPr>
        <w:t>Please note ING DIRECT is never abbreviated to ING.</w:t>
      </w:r>
    </w:p>
    <w:p w:rsidR="004A793D" w:rsidRDefault="004A793D" w:rsidP="00907AF6"/>
    <w:sectPr w:rsidR="004A793D" w:rsidSect="00CD573C">
      <w:headerReference w:type="default" r:id="rId10"/>
      <w:pgSz w:w="11906" w:h="16838"/>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3D" w:rsidRDefault="004A793D" w:rsidP="001B5560">
      <w:pPr>
        <w:spacing w:after="0" w:line="240" w:lineRule="auto"/>
      </w:pPr>
      <w:r>
        <w:separator/>
      </w:r>
    </w:p>
  </w:endnote>
  <w:endnote w:type="continuationSeparator" w:id="0">
    <w:p w:rsidR="004A793D" w:rsidRDefault="004A793D" w:rsidP="001B5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JZDPJ+PraxisLT-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3D" w:rsidRDefault="004A793D" w:rsidP="001B5560">
      <w:pPr>
        <w:spacing w:after="0" w:line="240" w:lineRule="auto"/>
      </w:pPr>
      <w:r>
        <w:separator/>
      </w:r>
    </w:p>
  </w:footnote>
  <w:footnote w:type="continuationSeparator" w:id="0">
    <w:p w:rsidR="004A793D" w:rsidRDefault="004A793D" w:rsidP="001B5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3D" w:rsidRDefault="006355CD" w:rsidP="001B5560">
    <w:pPr>
      <w:pStyle w:val="Header"/>
      <w:jc w:val="right"/>
    </w:pPr>
    <w:r>
      <w:rPr>
        <w:noProof/>
        <w:lang w:eastAsia="en-AU"/>
      </w:rPr>
      <w:drawing>
        <wp:inline distT="0" distB="0" distL="0" distR="0">
          <wp:extent cx="2095500" cy="523875"/>
          <wp:effectExtent l="19050" t="0" r="0" b="0"/>
          <wp:docPr id="1" name="Picture 1" descr="ING-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CC New Logo"/>
                  <pic:cNvPicPr>
                    <a:picLocks noChangeAspect="1" noChangeArrowheads="1"/>
                  </pic:cNvPicPr>
                </pic:nvPicPr>
                <pic:blipFill>
                  <a:blip r:embed="rId1"/>
                  <a:srcRect/>
                  <a:stretch>
                    <a:fillRect/>
                  </a:stretch>
                </pic:blipFill>
                <pic:spPr bwMode="auto">
                  <a:xfrm>
                    <a:off x="0" y="0"/>
                    <a:ext cx="2095500" cy="523875"/>
                  </a:xfrm>
                  <a:prstGeom prst="rect">
                    <a:avLst/>
                  </a:prstGeom>
                  <a:noFill/>
                  <a:ln w="9525">
                    <a:noFill/>
                    <a:miter lim="800000"/>
                    <a:headEnd/>
                    <a:tailEnd/>
                  </a:ln>
                </pic:spPr>
              </pic:pic>
            </a:graphicData>
          </a:graphic>
        </wp:inline>
      </w:drawing>
    </w:r>
  </w:p>
  <w:p w:rsidR="004A793D" w:rsidRDefault="004A7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4495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18CF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C61B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0294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2EB9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E84B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D45F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E0D6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04F9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5C6152"/>
    <w:lvl w:ilvl="0">
      <w:start w:val="1"/>
      <w:numFmt w:val="bullet"/>
      <w:lvlText w:val=""/>
      <w:lvlJc w:val="left"/>
      <w:pPr>
        <w:tabs>
          <w:tab w:val="num" w:pos="360"/>
        </w:tabs>
        <w:ind w:left="360" w:hanging="360"/>
      </w:pPr>
      <w:rPr>
        <w:rFonts w:ascii="Symbol" w:hAnsi="Symbol" w:hint="default"/>
      </w:rPr>
    </w:lvl>
  </w:abstractNum>
  <w:abstractNum w:abstractNumId="10">
    <w:nsid w:val="27330981"/>
    <w:multiLevelType w:val="hybridMultilevel"/>
    <w:tmpl w:val="466605C4"/>
    <w:lvl w:ilvl="0" w:tplc="0780170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70585"/>
    <w:multiLevelType w:val="hybridMultilevel"/>
    <w:tmpl w:val="0010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B411F9"/>
    <w:multiLevelType w:val="hybridMultilevel"/>
    <w:tmpl w:val="670A6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B5560"/>
    <w:rsid w:val="00002F32"/>
    <w:rsid w:val="0000492F"/>
    <w:rsid w:val="000241A9"/>
    <w:rsid w:val="00025581"/>
    <w:rsid w:val="00035789"/>
    <w:rsid w:val="000451A8"/>
    <w:rsid w:val="00066CE9"/>
    <w:rsid w:val="00081E47"/>
    <w:rsid w:val="000921DD"/>
    <w:rsid w:val="000934E8"/>
    <w:rsid w:val="000A464E"/>
    <w:rsid w:val="000A566D"/>
    <w:rsid w:val="000A674A"/>
    <w:rsid w:val="000B34DA"/>
    <w:rsid w:val="000B6852"/>
    <w:rsid w:val="000C4382"/>
    <w:rsid w:val="000C495A"/>
    <w:rsid w:val="000C721B"/>
    <w:rsid w:val="000D5137"/>
    <w:rsid w:val="000F00D0"/>
    <w:rsid w:val="000F2768"/>
    <w:rsid w:val="000F65D6"/>
    <w:rsid w:val="000F7ECD"/>
    <w:rsid w:val="001143BD"/>
    <w:rsid w:val="00122ADE"/>
    <w:rsid w:val="00124251"/>
    <w:rsid w:val="00137BA8"/>
    <w:rsid w:val="00140489"/>
    <w:rsid w:val="00140740"/>
    <w:rsid w:val="00144AA8"/>
    <w:rsid w:val="001678E1"/>
    <w:rsid w:val="00194891"/>
    <w:rsid w:val="00196338"/>
    <w:rsid w:val="001966AE"/>
    <w:rsid w:val="001B0812"/>
    <w:rsid w:val="001B5560"/>
    <w:rsid w:val="001B5737"/>
    <w:rsid w:val="001C2839"/>
    <w:rsid w:val="001C6C7A"/>
    <w:rsid w:val="001D68E0"/>
    <w:rsid w:val="001D68E1"/>
    <w:rsid w:val="001D7779"/>
    <w:rsid w:val="001E6E8D"/>
    <w:rsid w:val="001F4750"/>
    <w:rsid w:val="0022203A"/>
    <w:rsid w:val="00224FB3"/>
    <w:rsid w:val="00251D94"/>
    <w:rsid w:val="00253D0A"/>
    <w:rsid w:val="00254C38"/>
    <w:rsid w:val="002606AD"/>
    <w:rsid w:val="00264452"/>
    <w:rsid w:val="002659E5"/>
    <w:rsid w:val="0027129E"/>
    <w:rsid w:val="002753CD"/>
    <w:rsid w:val="00296A69"/>
    <w:rsid w:val="00297568"/>
    <w:rsid w:val="002A05C2"/>
    <w:rsid w:val="002A529A"/>
    <w:rsid w:val="002B7DC3"/>
    <w:rsid w:val="002E3812"/>
    <w:rsid w:val="002E3FCB"/>
    <w:rsid w:val="002F2993"/>
    <w:rsid w:val="00316110"/>
    <w:rsid w:val="003215FC"/>
    <w:rsid w:val="003250BB"/>
    <w:rsid w:val="00334067"/>
    <w:rsid w:val="00341DAC"/>
    <w:rsid w:val="00344DBF"/>
    <w:rsid w:val="003525E3"/>
    <w:rsid w:val="00361BC0"/>
    <w:rsid w:val="003710A5"/>
    <w:rsid w:val="00373EA1"/>
    <w:rsid w:val="0037413D"/>
    <w:rsid w:val="00382FA1"/>
    <w:rsid w:val="003843C8"/>
    <w:rsid w:val="0038484B"/>
    <w:rsid w:val="00386C7B"/>
    <w:rsid w:val="00397B32"/>
    <w:rsid w:val="003A1A8D"/>
    <w:rsid w:val="003A675A"/>
    <w:rsid w:val="003C1968"/>
    <w:rsid w:val="003D5350"/>
    <w:rsid w:val="003E70FD"/>
    <w:rsid w:val="003F0BFD"/>
    <w:rsid w:val="003F0F05"/>
    <w:rsid w:val="003F383A"/>
    <w:rsid w:val="003F5867"/>
    <w:rsid w:val="0040027B"/>
    <w:rsid w:val="004014C5"/>
    <w:rsid w:val="004031DB"/>
    <w:rsid w:val="0041095B"/>
    <w:rsid w:val="00411BFB"/>
    <w:rsid w:val="00412088"/>
    <w:rsid w:val="00413EF4"/>
    <w:rsid w:val="00414F59"/>
    <w:rsid w:val="004210F7"/>
    <w:rsid w:val="00437B37"/>
    <w:rsid w:val="00446A14"/>
    <w:rsid w:val="00463C8F"/>
    <w:rsid w:val="00472D7C"/>
    <w:rsid w:val="004A6BBE"/>
    <w:rsid w:val="004A793D"/>
    <w:rsid w:val="004B43C3"/>
    <w:rsid w:val="004D0255"/>
    <w:rsid w:val="004D052E"/>
    <w:rsid w:val="004D3280"/>
    <w:rsid w:val="004D65F5"/>
    <w:rsid w:val="004F026C"/>
    <w:rsid w:val="004F27C7"/>
    <w:rsid w:val="00514B26"/>
    <w:rsid w:val="005220DB"/>
    <w:rsid w:val="005233A2"/>
    <w:rsid w:val="00530538"/>
    <w:rsid w:val="005318C6"/>
    <w:rsid w:val="00537C7A"/>
    <w:rsid w:val="005441DC"/>
    <w:rsid w:val="00545BB8"/>
    <w:rsid w:val="00547D30"/>
    <w:rsid w:val="0056294C"/>
    <w:rsid w:val="00593099"/>
    <w:rsid w:val="005C6348"/>
    <w:rsid w:val="005D0417"/>
    <w:rsid w:val="005D0C0E"/>
    <w:rsid w:val="005F218D"/>
    <w:rsid w:val="00600BE0"/>
    <w:rsid w:val="00610400"/>
    <w:rsid w:val="006110C5"/>
    <w:rsid w:val="00614B7C"/>
    <w:rsid w:val="006355CD"/>
    <w:rsid w:val="00641CAD"/>
    <w:rsid w:val="00645001"/>
    <w:rsid w:val="006458DB"/>
    <w:rsid w:val="006578D4"/>
    <w:rsid w:val="00660AAB"/>
    <w:rsid w:val="0066577D"/>
    <w:rsid w:val="00676EA1"/>
    <w:rsid w:val="00677D16"/>
    <w:rsid w:val="00682B63"/>
    <w:rsid w:val="006844F8"/>
    <w:rsid w:val="00696944"/>
    <w:rsid w:val="006A2420"/>
    <w:rsid w:val="006B3609"/>
    <w:rsid w:val="006C1C8C"/>
    <w:rsid w:val="006E05F1"/>
    <w:rsid w:val="006E1C50"/>
    <w:rsid w:val="006E2782"/>
    <w:rsid w:val="006E4DDE"/>
    <w:rsid w:val="006E59A4"/>
    <w:rsid w:val="00703565"/>
    <w:rsid w:val="007074EE"/>
    <w:rsid w:val="007117FF"/>
    <w:rsid w:val="00716B9E"/>
    <w:rsid w:val="00717ED1"/>
    <w:rsid w:val="00727986"/>
    <w:rsid w:val="00732802"/>
    <w:rsid w:val="00740945"/>
    <w:rsid w:val="00745091"/>
    <w:rsid w:val="00773D27"/>
    <w:rsid w:val="00773F6C"/>
    <w:rsid w:val="00777D39"/>
    <w:rsid w:val="00783953"/>
    <w:rsid w:val="00785699"/>
    <w:rsid w:val="00797F70"/>
    <w:rsid w:val="007A519A"/>
    <w:rsid w:val="007A5F54"/>
    <w:rsid w:val="007B49F5"/>
    <w:rsid w:val="007C63A9"/>
    <w:rsid w:val="007C79EE"/>
    <w:rsid w:val="007E1BED"/>
    <w:rsid w:val="007E2C47"/>
    <w:rsid w:val="007F2E39"/>
    <w:rsid w:val="007F4263"/>
    <w:rsid w:val="00813402"/>
    <w:rsid w:val="00821A04"/>
    <w:rsid w:val="00823C8D"/>
    <w:rsid w:val="00827397"/>
    <w:rsid w:val="00840DCA"/>
    <w:rsid w:val="0084242E"/>
    <w:rsid w:val="00851FA9"/>
    <w:rsid w:val="00852A70"/>
    <w:rsid w:val="00853C0F"/>
    <w:rsid w:val="00856E84"/>
    <w:rsid w:val="008575BF"/>
    <w:rsid w:val="008707A8"/>
    <w:rsid w:val="00874528"/>
    <w:rsid w:val="00881F60"/>
    <w:rsid w:val="00891444"/>
    <w:rsid w:val="00893AB2"/>
    <w:rsid w:val="008A2926"/>
    <w:rsid w:val="008A7843"/>
    <w:rsid w:val="008C7D01"/>
    <w:rsid w:val="008D62C1"/>
    <w:rsid w:val="008D7ACB"/>
    <w:rsid w:val="00907AF6"/>
    <w:rsid w:val="00925162"/>
    <w:rsid w:val="009435FA"/>
    <w:rsid w:val="0095055F"/>
    <w:rsid w:val="00956E23"/>
    <w:rsid w:val="0097232E"/>
    <w:rsid w:val="009914EF"/>
    <w:rsid w:val="009A040E"/>
    <w:rsid w:val="009C5366"/>
    <w:rsid w:val="009D229C"/>
    <w:rsid w:val="009E6232"/>
    <w:rsid w:val="009F3990"/>
    <w:rsid w:val="00A0655E"/>
    <w:rsid w:val="00A071D1"/>
    <w:rsid w:val="00A248FD"/>
    <w:rsid w:val="00A32FD0"/>
    <w:rsid w:val="00A43FB7"/>
    <w:rsid w:val="00A52ACF"/>
    <w:rsid w:val="00A52BCB"/>
    <w:rsid w:val="00A54BD1"/>
    <w:rsid w:val="00A60B86"/>
    <w:rsid w:val="00A77557"/>
    <w:rsid w:val="00A92F8B"/>
    <w:rsid w:val="00A93B03"/>
    <w:rsid w:val="00AA29B8"/>
    <w:rsid w:val="00AA2DB0"/>
    <w:rsid w:val="00AB1A61"/>
    <w:rsid w:val="00AC6019"/>
    <w:rsid w:val="00AD7DBC"/>
    <w:rsid w:val="00B15209"/>
    <w:rsid w:val="00B31559"/>
    <w:rsid w:val="00B37ECB"/>
    <w:rsid w:val="00B42994"/>
    <w:rsid w:val="00B44091"/>
    <w:rsid w:val="00B44F84"/>
    <w:rsid w:val="00B5264D"/>
    <w:rsid w:val="00B54188"/>
    <w:rsid w:val="00B60B45"/>
    <w:rsid w:val="00B65EED"/>
    <w:rsid w:val="00B674CF"/>
    <w:rsid w:val="00B71C34"/>
    <w:rsid w:val="00B72A02"/>
    <w:rsid w:val="00B740D9"/>
    <w:rsid w:val="00B74837"/>
    <w:rsid w:val="00B837AA"/>
    <w:rsid w:val="00B97348"/>
    <w:rsid w:val="00BA6C1D"/>
    <w:rsid w:val="00BB77D5"/>
    <w:rsid w:val="00BC2EF9"/>
    <w:rsid w:val="00BD4F12"/>
    <w:rsid w:val="00BD5C90"/>
    <w:rsid w:val="00BF1D5E"/>
    <w:rsid w:val="00C00D96"/>
    <w:rsid w:val="00C06DAB"/>
    <w:rsid w:val="00C2051E"/>
    <w:rsid w:val="00C24E85"/>
    <w:rsid w:val="00C26F4E"/>
    <w:rsid w:val="00C43D9A"/>
    <w:rsid w:val="00C5557B"/>
    <w:rsid w:val="00C60407"/>
    <w:rsid w:val="00C67533"/>
    <w:rsid w:val="00C900AD"/>
    <w:rsid w:val="00CA4457"/>
    <w:rsid w:val="00CC1D1F"/>
    <w:rsid w:val="00CC4A2A"/>
    <w:rsid w:val="00CD573C"/>
    <w:rsid w:val="00CE43C2"/>
    <w:rsid w:val="00CE6868"/>
    <w:rsid w:val="00CF2215"/>
    <w:rsid w:val="00CF2E8E"/>
    <w:rsid w:val="00CF4E6D"/>
    <w:rsid w:val="00D02FC3"/>
    <w:rsid w:val="00D05C02"/>
    <w:rsid w:val="00D070B5"/>
    <w:rsid w:val="00D07196"/>
    <w:rsid w:val="00D07980"/>
    <w:rsid w:val="00D33A07"/>
    <w:rsid w:val="00D638CE"/>
    <w:rsid w:val="00D66889"/>
    <w:rsid w:val="00D7568C"/>
    <w:rsid w:val="00D77831"/>
    <w:rsid w:val="00DA6808"/>
    <w:rsid w:val="00DB7DF5"/>
    <w:rsid w:val="00DC17FA"/>
    <w:rsid w:val="00DC4366"/>
    <w:rsid w:val="00DD7F6B"/>
    <w:rsid w:val="00DE1D11"/>
    <w:rsid w:val="00DE76BC"/>
    <w:rsid w:val="00DF16A7"/>
    <w:rsid w:val="00DF2F7B"/>
    <w:rsid w:val="00E002AB"/>
    <w:rsid w:val="00E02DCA"/>
    <w:rsid w:val="00E0576C"/>
    <w:rsid w:val="00E10A73"/>
    <w:rsid w:val="00E12062"/>
    <w:rsid w:val="00E16F4B"/>
    <w:rsid w:val="00E26F77"/>
    <w:rsid w:val="00E32079"/>
    <w:rsid w:val="00E3654E"/>
    <w:rsid w:val="00E40F49"/>
    <w:rsid w:val="00E570DC"/>
    <w:rsid w:val="00E626D6"/>
    <w:rsid w:val="00E6566B"/>
    <w:rsid w:val="00E70FBA"/>
    <w:rsid w:val="00E7144B"/>
    <w:rsid w:val="00E80D21"/>
    <w:rsid w:val="00EB361B"/>
    <w:rsid w:val="00EB48D3"/>
    <w:rsid w:val="00EB58DE"/>
    <w:rsid w:val="00EB7D6C"/>
    <w:rsid w:val="00EC0F20"/>
    <w:rsid w:val="00EF182C"/>
    <w:rsid w:val="00EF5E01"/>
    <w:rsid w:val="00F13150"/>
    <w:rsid w:val="00F213B9"/>
    <w:rsid w:val="00F21D42"/>
    <w:rsid w:val="00F24D72"/>
    <w:rsid w:val="00F337E9"/>
    <w:rsid w:val="00F85B25"/>
    <w:rsid w:val="00F90BA5"/>
    <w:rsid w:val="00F96066"/>
    <w:rsid w:val="00FA6C44"/>
    <w:rsid w:val="00FA7D97"/>
    <w:rsid w:val="00FB1CB9"/>
    <w:rsid w:val="00FC4BB9"/>
    <w:rsid w:val="00FE2292"/>
    <w:rsid w:val="00FE4292"/>
    <w:rsid w:val="00FE6118"/>
    <w:rsid w:val="00FE663B"/>
    <w:rsid w:val="00FF3C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5560"/>
    <w:rPr>
      <w:rFonts w:cs="Times New Roman"/>
      <w:color w:val="0000FF"/>
      <w:u w:val="single"/>
    </w:rPr>
  </w:style>
  <w:style w:type="paragraph" w:styleId="Header">
    <w:name w:val="header"/>
    <w:basedOn w:val="Normal"/>
    <w:link w:val="HeaderChar"/>
    <w:uiPriority w:val="99"/>
    <w:semiHidden/>
    <w:rsid w:val="001B5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5560"/>
    <w:rPr>
      <w:rFonts w:cs="Times New Roman"/>
    </w:rPr>
  </w:style>
  <w:style w:type="paragraph" w:styleId="Footer">
    <w:name w:val="footer"/>
    <w:basedOn w:val="Normal"/>
    <w:link w:val="FooterChar"/>
    <w:uiPriority w:val="99"/>
    <w:semiHidden/>
    <w:rsid w:val="001B5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B5560"/>
    <w:rPr>
      <w:rFonts w:cs="Times New Roman"/>
    </w:rPr>
  </w:style>
  <w:style w:type="paragraph" w:styleId="BalloonText">
    <w:name w:val="Balloon Text"/>
    <w:basedOn w:val="Normal"/>
    <w:link w:val="BalloonTextChar"/>
    <w:uiPriority w:val="99"/>
    <w:semiHidden/>
    <w:rsid w:val="001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560"/>
    <w:rPr>
      <w:rFonts w:ascii="Tahoma" w:hAnsi="Tahoma" w:cs="Tahoma"/>
      <w:sz w:val="16"/>
      <w:szCs w:val="16"/>
    </w:rPr>
  </w:style>
  <w:style w:type="paragraph" w:styleId="ListParagraph">
    <w:name w:val="List Paragraph"/>
    <w:basedOn w:val="Normal"/>
    <w:uiPriority w:val="99"/>
    <w:qFormat/>
    <w:rsid w:val="001B5560"/>
    <w:pPr>
      <w:ind w:left="720"/>
      <w:contextualSpacing/>
    </w:pPr>
  </w:style>
  <w:style w:type="paragraph" w:customStyle="1" w:styleId="Default">
    <w:name w:val="Default"/>
    <w:uiPriority w:val="99"/>
    <w:rsid w:val="00F13150"/>
    <w:pPr>
      <w:autoSpaceDE w:val="0"/>
      <w:autoSpaceDN w:val="0"/>
      <w:adjustRightInd w:val="0"/>
    </w:pPr>
    <w:rPr>
      <w:rFonts w:ascii="WJZDPJ+PraxisLT-Regular" w:hAnsi="WJZDPJ+PraxisLT-Regular" w:cs="WJZDPJ+PraxisLT-Regular"/>
      <w:color w:val="000000"/>
      <w:sz w:val="24"/>
      <w:szCs w:val="24"/>
      <w:lang w:val="en-US" w:eastAsia="en-US"/>
    </w:rPr>
  </w:style>
  <w:style w:type="character" w:styleId="Strong">
    <w:name w:val="Strong"/>
    <w:basedOn w:val="DefaultParagraphFont"/>
    <w:uiPriority w:val="99"/>
    <w:qFormat/>
    <w:rsid w:val="00F13150"/>
    <w:rPr>
      <w:rFonts w:cs="Times New Roman"/>
      <w:b/>
    </w:rPr>
  </w:style>
  <w:style w:type="paragraph" w:customStyle="1" w:styleId="netappbody">
    <w:name w:val="netapp_body"/>
    <w:uiPriority w:val="99"/>
    <w:rsid w:val="00F13150"/>
    <w:pPr>
      <w:spacing w:line="260" w:lineRule="exact"/>
    </w:pPr>
    <w:rPr>
      <w:rFonts w:ascii="Arial" w:eastAsia="Times New Roman" w:hAnsi="Arial" w:cs="Arial"/>
      <w:color w:val="000000"/>
      <w:sz w:val="20"/>
      <w:szCs w:val="20"/>
      <w:lang w:val="en-US" w:eastAsia="en-US"/>
    </w:rPr>
  </w:style>
  <w:style w:type="character" w:styleId="CommentReference">
    <w:name w:val="annotation reference"/>
    <w:basedOn w:val="DefaultParagraphFont"/>
    <w:uiPriority w:val="99"/>
    <w:semiHidden/>
    <w:rsid w:val="00F13150"/>
    <w:rPr>
      <w:rFonts w:cs="Times New Roman"/>
      <w:sz w:val="16"/>
      <w:szCs w:val="16"/>
    </w:rPr>
  </w:style>
  <w:style w:type="paragraph" w:styleId="CommentText">
    <w:name w:val="annotation text"/>
    <w:basedOn w:val="Normal"/>
    <w:link w:val="CommentTextChar"/>
    <w:uiPriority w:val="99"/>
    <w:semiHidden/>
    <w:rsid w:val="00F13150"/>
    <w:pPr>
      <w:spacing w:after="12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locked/>
    <w:rsid w:val="00F13150"/>
    <w:rPr>
      <w:rFonts w:ascii="Times New Roman" w:eastAsia="MS Mincho" w:hAnsi="Times New Roman" w:cs="Times New Roman"/>
      <w:snapToGrid w:val="0"/>
      <w:kern w:val="2"/>
      <w:sz w:val="20"/>
      <w:szCs w:val="20"/>
      <w:lang w:eastAsia="ja-JP"/>
    </w:rPr>
  </w:style>
  <w:style w:type="paragraph" w:customStyle="1" w:styleId="Body">
    <w:name w:val="Body"/>
    <w:link w:val="BodyChar"/>
    <w:uiPriority w:val="99"/>
    <w:rsid w:val="00F1315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rPr>
  </w:style>
  <w:style w:type="character" w:customStyle="1" w:styleId="BodyChar">
    <w:name w:val="Body Char"/>
    <w:link w:val="Body"/>
    <w:uiPriority w:val="99"/>
    <w:locked/>
    <w:rsid w:val="00F13150"/>
    <w:rPr>
      <w:rFonts w:ascii="Arial" w:hAnsi="Arial"/>
      <w:color w:val="000000"/>
      <w:sz w:val="22"/>
      <w:lang w:eastAsia="en-AU"/>
    </w:rPr>
  </w:style>
  <w:style w:type="paragraph" w:styleId="CommentSubject">
    <w:name w:val="annotation subject"/>
    <w:basedOn w:val="CommentText"/>
    <w:next w:val="CommentText"/>
    <w:link w:val="CommentSubjectChar"/>
    <w:uiPriority w:val="99"/>
    <w:semiHidden/>
    <w:rsid w:val="002A529A"/>
    <w:pPr>
      <w:spacing w:after="200" w:line="276"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A529A"/>
    <w:rPr>
      <w:b/>
      <w:bCs/>
      <w:lang w:eastAsia="en-US"/>
    </w:rPr>
  </w:style>
</w:styles>
</file>

<file path=word/webSettings.xml><?xml version="1.0" encoding="utf-8"?>
<w:webSettings xmlns:r="http://schemas.openxmlformats.org/officeDocument/2006/relationships" xmlns:w="http://schemas.openxmlformats.org/wordprocessingml/2006/main">
  <w:divs>
    <w:div w:id="1603414046">
      <w:marLeft w:val="0"/>
      <w:marRight w:val="0"/>
      <w:marTop w:val="0"/>
      <w:marBottom w:val="0"/>
      <w:divBdr>
        <w:top w:val="none" w:sz="0" w:space="0" w:color="auto"/>
        <w:left w:val="none" w:sz="0" w:space="0" w:color="auto"/>
        <w:bottom w:val="none" w:sz="0" w:space="0" w:color="auto"/>
        <w:right w:val="none" w:sz="0" w:space="0" w:color="auto"/>
      </w:divBdr>
    </w:div>
    <w:div w:id="1603414047">
      <w:marLeft w:val="0"/>
      <w:marRight w:val="0"/>
      <w:marTop w:val="0"/>
      <w:marBottom w:val="0"/>
      <w:divBdr>
        <w:top w:val="none" w:sz="0" w:space="0" w:color="auto"/>
        <w:left w:val="none" w:sz="0" w:space="0" w:color="auto"/>
        <w:bottom w:val="none" w:sz="0" w:space="0" w:color="auto"/>
        <w:right w:val="none" w:sz="0" w:space="0" w:color="auto"/>
      </w:divBdr>
    </w:div>
    <w:div w:id="1603414048">
      <w:marLeft w:val="0"/>
      <w:marRight w:val="0"/>
      <w:marTop w:val="0"/>
      <w:marBottom w:val="0"/>
      <w:divBdr>
        <w:top w:val="none" w:sz="0" w:space="0" w:color="auto"/>
        <w:left w:val="none" w:sz="0" w:space="0" w:color="auto"/>
        <w:bottom w:val="none" w:sz="0" w:space="0" w:color="auto"/>
        <w:right w:val="none" w:sz="0" w:space="0" w:color="auto"/>
      </w:divBdr>
    </w:div>
    <w:div w:id="1603414049">
      <w:marLeft w:val="0"/>
      <w:marRight w:val="0"/>
      <w:marTop w:val="0"/>
      <w:marBottom w:val="0"/>
      <w:divBdr>
        <w:top w:val="none" w:sz="0" w:space="0" w:color="auto"/>
        <w:left w:val="none" w:sz="0" w:space="0" w:color="auto"/>
        <w:bottom w:val="none" w:sz="0" w:space="0" w:color="auto"/>
        <w:right w:val="none" w:sz="0" w:space="0" w:color="auto"/>
      </w:divBdr>
    </w:div>
    <w:div w:id="1603414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direct.wieck.com/" TargetMode="External"/><Relationship Id="rId3" Type="http://schemas.openxmlformats.org/officeDocument/2006/relationships/settings" Target="settings.xml"/><Relationship Id="rId7" Type="http://schemas.openxmlformats.org/officeDocument/2006/relationships/hyperlink" Target="http://ingdirect.wieck.com/photos/mark-woolnough-head-of-broker-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oline.thomas@ingdirec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3224</Characters>
  <Application>Microsoft Office Word</Application>
  <DocSecurity>0</DocSecurity>
  <Lines>26</Lines>
  <Paragraphs>7</Paragraphs>
  <ScaleCrop>false</ScaleCrop>
  <Company>ING BANK</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dc:title>
  <dc:subject/>
  <dc:creator>cthomas</dc:creator>
  <cp:keywords/>
  <dc:description/>
  <cp:lastModifiedBy>cthomas</cp:lastModifiedBy>
  <cp:revision>3</cp:revision>
  <cp:lastPrinted>2012-07-01T23:43:00Z</cp:lastPrinted>
  <dcterms:created xsi:type="dcterms:W3CDTF">2012-07-02T03:31:00Z</dcterms:created>
  <dcterms:modified xsi:type="dcterms:W3CDTF">2012-07-02T03:31:00Z</dcterms:modified>
</cp:coreProperties>
</file>